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ind w:firstLine="284"/>
        <w:jc w:val="center"/>
        <w:rPr>
          <w:rFonts w:ascii="Arial" w:hAnsi="Arial" w:cs="Arial"/>
          <w:b/>
        </w:rPr>
      </w:pPr>
      <w:r>
        <w:rPr>
          <w:rFonts w:cs="Arial" w:ascii="Arial" w:hAnsi="Arial"/>
          <w:b/>
        </w:rPr>
      </w:r>
    </w:p>
    <w:p>
      <w:pPr>
        <w:pStyle w:val="Normal"/>
        <w:spacing w:lineRule="auto" w:line="240" w:before="0" w:after="0"/>
        <w:ind w:firstLine="284"/>
        <w:jc w:val="center"/>
        <w:rPr>
          <w:rFonts w:ascii="Arial" w:hAnsi="Arial" w:cs="Arial"/>
          <w:b/>
        </w:rPr>
      </w:pPr>
      <w:r>
        <w:rPr>
          <w:rFonts w:cs="Arial" w:ascii="Arial" w:hAnsi="Arial"/>
          <w:b/>
        </w:rPr>
        <w:t>VĮ VALSTYBINIŲ MIŠKŲ URĖDIJOS DARBUOTOJŲ DRAUDIMO NUO NELAIMINGŲ ATSITIKIMŲ PASLAUGŲ PIRKIMO TECHNINĖ SPECIFIKACIJA</w:t>
      </w:r>
    </w:p>
    <w:p>
      <w:pPr>
        <w:pStyle w:val="Normal"/>
        <w:rPr>
          <w:rFonts w:ascii="Arial" w:hAnsi="Arial" w:cs="Arial"/>
          <w:b/>
        </w:rPr>
      </w:pPr>
      <w:r>
        <w:rPr>
          <w:rFonts w:cs="Arial" w:ascii="Arial" w:hAnsi="Arial"/>
          <w:b/>
        </w:rPr>
      </w:r>
    </w:p>
    <w:p>
      <w:pPr>
        <w:pStyle w:val="ListParagraph"/>
        <w:numPr>
          <w:ilvl w:val="0"/>
          <w:numId w:val="1"/>
        </w:numPr>
        <w:spacing w:lineRule="auto" w:line="240"/>
        <w:ind w:hanging="654" w:left="1080"/>
        <w:jc w:val="both"/>
        <w:rPr>
          <w:rFonts w:ascii="Arial" w:hAnsi="Arial" w:cs="Arial"/>
          <w:b/>
        </w:rPr>
      </w:pPr>
      <w:r>
        <w:rPr>
          <w:rFonts w:cs="Arial" w:ascii="Arial" w:hAnsi="Arial"/>
          <w:b/>
        </w:rPr>
        <w:t>SĄVOKOS IR SUTRUMPINIMAI:</w:t>
      </w:r>
    </w:p>
    <w:p>
      <w:pPr>
        <w:pStyle w:val="ListParagraph"/>
        <w:numPr>
          <w:ilvl w:val="1"/>
          <w:numId w:val="1"/>
        </w:numPr>
        <w:spacing w:lineRule="auto" w:line="240" w:before="16" w:after="0"/>
        <w:ind w:hanging="567" w:left="1134" w:right="510"/>
        <w:contextualSpacing/>
        <w:jc w:val="both"/>
        <w:rPr>
          <w:rFonts w:ascii="Arial" w:hAnsi="Arial" w:cs="Arial"/>
        </w:rPr>
      </w:pPr>
      <w:r>
        <w:rPr>
          <w:rFonts w:cs="Arial" w:ascii="Arial" w:hAnsi="Arial"/>
        </w:rPr>
        <w:t xml:space="preserve">Užsakovas – </w:t>
      </w:r>
      <w:r>
        <w:rPr>
          <w:rFonts w:cs="Arial" w:ascii="Arial" w:hAnsi="Arial"/>
          <w:bCs/>
        </w:rPr>
        <w:t xml:space="preserve">VĮ Valstybinių miškų urėdija (toliau – </w:t>
      </w:r>
      <w:r>
        <w:rPr>
          <w:rFonts w:cs="Arial" w:ascii="Arial" w:hAnsi="Arial"/>
        </w:rPr>
        <w:t>Draudėjas/ Perkančioji organizacija</w:t>
      </w:r>
      <w:r>
        <w:rPr>
          <w:rFonts w:cs="Arial" w:ascii="Arial" w:hAnsi="Arial"/>
          <w:bCs/>
        </w:rPr>
        <w:t>)</w:t>
      </w:r>
      <w:r>
        <w:rPr>
          <w:rFonts w:cs="Arial" w:ascii="Arial" w:hAnsi="Arial"/>
        </w:rPr>
        <w:t>.</w:t>
      </w:r>
    </w:p>
    <w:p>
      <w:pPr>
        <w:pStyle w:val="ListParagraph"/>
        <w:numPr>
          <w:ilvl w:val="1"/>
          <w:numId w:val="1"/>
        </w:numPr>
        <w:spacing w:lineRule="auto" w:line="240" w:before="16" w:after="0"/>
        <w:ind w:hanging="567" w:left="1134" w:right="49"/>
        <w:contextualSpacing/>
        <w:jc w:val="both"/>
        <w:rPr>
          <w:rFonts w:ascii="Arial" w:hAnsi="Arial" w:cs="Arial"/>
        </w:rPr>
      </w:pPr>
      <w:r>
        <w:rPr>
          <w:rFonts w:cs="Arial" w:ascii="Arial" w:hAnsi="Arial"/>
          <w:bCs/>
        </w:rPr>
        <w:t>Paslaugų teikėjas – ūkio subjektas – fizinis asmuo, privatusis juridinis asmuo, viešasis juridinis asmuo, kitos organizacijos ir jų padaliniai ar tokių asmenų</w:t>
      </w:r>
      <w:r>
        <w:rPr>
          <w:rFonts w:cs="Arial" w:ascii="Arial" w:hAnsi="Arial"/>
        </w:rPr>
        <w:t xml:space="preserve"> grupė, su kuriuo Užsakovas sudaro sutartį (toliau – Draudikas/ Teikėjas).</w:t>
      </w:r>
    </w:p>
    <w:p>
      <w:pPr>
        <w:pStyle w:val="ListParagraph"/>
        <w:numPr>
          <w:ilvl w:val="1"/>
          <w:numId w:val="1"/>
        </w:numPr>
        <w:spacing w:lineRule="auto" w:line="240" w:before="16" w:after="0"/>
        <w:ind w:hanging="567" w:left="1134" w:right="49"/>
        <w:contextualSpacing/>
        <w:jc w:val="both"/>
        <w:rPr>
          <w:rFonts w:ascii="Arial" w:hAnsi="Arial" w:cs="Arial"/>
        </w:rPr>
      </w:pPr>
      <w:r>
        <w:rPr>
          <w:rFonts w:cs="Arial" w:ascii="Arial" w:hAnsi="Arial"/>
        </w:rPr>
        <w:t xml:space="preserve">Apdraustieji – visi asmenys susiję darbo santykiais su Draudėju. </w:t>
      </w:r>
    </w:p>
    <w:p>
      <w:pPr>
        <w:pStyle w:val="ListParagraph"/>
        <w:numPr>
          <w:ilvl w:val="1"/>
          <w:numId w:val="1"/>
        </w:numPr>
        <w:spacing w:lineRule="auto" w:line="240" w:before="16" w:after="0"/>
        <w:ind w:hanging="567" w:left="1134" w:right="49"/>
        <w:contextualSpacing/>
        <w:jc w:val="both"/>
        <w:rPr>
          <w:rFonts w:ascii="Arial" w:hAnsi="Arial" w:cs="Arial"/>
        </w:rPr>
      </w:pPr>
      <w:r>
        <w:rPr>
          <w:rFonts w:cs="Arial" w:ascii="Arial" w:hAnsi="Arial"/>
        </w:rPr>
        <w:t>Naudos gavėjai – Apdraustieji arba teisėti jų paveldėtojai.</w:t>
      </w:r>
      <w:bookmarkStart w:id="0" w:name="_Hlk73537121"/>
      <w:bookmarkEnd w:id="0"/>
    </w:p>
    <w:p>
      <w:pPr>
        <w:pStyle w:val="Normal"/>
        <w:spacing w:lineRule="auto" w:line="240" w:before="0" w:after="0"/>
        <w:jc w:val="both"/>
        <w:rPr>
          <w:rFonts w:ascii="Arial" w:hAnsi="Arial" w:cs="Arial"/>
        </w:rPr>
      </w:pPr>
      <w:r>
        <w:rPr>
          <w:rFonts w:cs="Arial" w:ascii="Arial" w:hAnsi="Arial"/>
        </w:rPr>
      </w:r>
    </w:p>
    <w:p>
      <w:pPr>
        <w:pStyle w:val="ListParagraph"/>
        <w:numPr>
          <w:ilvl w:val="0"/>
          <w:numId w:val="1"/>
        </w:numPr>
        <w:spacing w:lineRule="auto" w:line="240" w:before="0" w:after="0"/>
        <w:ind w:hanging="654" w:left="1080"/>
        <w:contextualSpacing/>
        <w:rPr>
          <w:rFonts w:ascii="Arial" w:hAnsi="Arial" w:cs="Arial"/>
          <w:b/>
        </w:rPr>
      </w:pPr>
      <w:r>
        <w:rPr>
          <w:rFonts w:cs="Arial" w:ascii="Arial" w:hAnsi="Arial"/>
          <w:b/>
        </w:rPr>
        <w:t>PIRKIMO OBJEKTAS, KIEKIAI IR DRAUDIMO LAIKOTARPIS:</w:t>
      </w:r>
    </w:p>
    <w:p>
      <w:pPr>
        <w:pStyle w:val="ListParagraph"/>
        <w:numPr>
          <w:ilvl w:val="1"/>
          <w:numId w:val="1"/>
        </w:numPr>
        <w:spacing w:lineRule="auto" w:line="240" w:before="16" w:after="0"/>
        <w:ind w:hanging="567" w:left="1134" w:right="49"/>
        <w:contextualSpacing/>
        <w:jc w:val="both"/>
        <w:rPr>
          <w:rFonts w:ascii="Arial" w:hAnsi="Arial" w:cs="Arial"/>
          <w:bCs/>
        </w:rPr>
      </w:pPr>
      <w:r>
        <w:rPr>
          <w:rFonts w:cs="Arial" w:ascii="Arial" w:hAnsi="Arial"/>
        </w:rPr>
        <w:t xml:space="preserve">Pirkimo objektas – Valstybinių miškų urėdijos darbuotojų draudimas nuo nelaimingų atsitikimų </w:t>
      </w:r>
      <w:bookmarkStart w:id="1" w:name="_Hlk39831693"/>
      <w:r>
        <w:rPr>
          <w:rFonts w:cs="Arial" w:ascii="Arial" w:hAnsi="Arial"/>
        </w:rPr>
        <w:t>(toliau – Paslaugos/ Draudimas)</w:t>
      </w:r>
      <w:bookmarkEnd w:id="1"/>
      <w:r>
        <w:rPr>
          <w:rFonts w:cs="Arial" w:ascii="Arial" w:hAnsi="Arial"/>
        </w:rPr>
        <w:t xml:space="preserve">, </w:t>
      </w:r>
      <w:r>
        <w:rPr>
          <w:rFonts w:cs="Arial" w:ascii="Arial" w:hAnsi="Arial"/>
          <w:bCs/>
        </w:rPr>
        <w:t xml:space="preserve">bendrojo viešųjų pirkimų žodyno kodas </w:t>
      </w:r>
      <w:r>
        <w:rPr>
          <w:rFonts w:cs="Arial" w:ascii="Arial" w:hAnsi="Arial"/>
        </w:rPr>
        <w:t xml:space="preserve">66512100-3 – Draudimo nuo nelaimingų atsitikimų paslaugos. </w:t>
      </w:r>
    </w:p>
    <w:p>
      <w:pPr>
        <w:pStyle w:val="ListParagraph"/>
        <w:numPr>
          <w:ilvl w:val="1"/>
          <w:numId w:val="1"/>
        </w:numPr>
        <w:spacing w:lineRule="auto" w:line="240" w:before="16" w:after="0"/>
        <w:ind w:hanging="567" w:left="1134" w:right="49"/>
        <w:contextualSpacing/>
        <w:jc w:val="both"/>
        <w:rPr>
          <w:rFonts w:ascii="Arial" w:hAnsi="Arial" w:cs="Arial"/>
          <w:bCs/>
        </w:rPr>
      </w:pPr>
      <w:r>
        <w:rPr>
          <w:rFonts w:cs="Arial" w:ascii="Arial" w:hAnsi="Arial"/>
          <w:bCs/>
        </w:rPr>
        <w:t>Pirkimo objektas į atskiras pirkimo objekto dalis neskaidomas:</w:t>
      </w:r>
    </w:p>
    <w:p>
      <w:pPr>
        <w:pStyle w:val="ListParagraph"/>
        <w:spacing w:lineRule="auto" w:line="240" w:before="16" w:after="0"/>
        <w:ind w:left="1134" w:right="49"/>
        <w:contextualSpacing/>
        <w:jc w:val="both"/>
        <w:rPr>
          <w:rFonts w:ascii="Arial" w:hAnsi="Arial" w:cs="Arial"/>
          <w:bCs/>
        </w:rPr>
      </w:pPr>
      <w:r>
        <w:rPr>
          <w:rFonts w:cs="Arial" w:ascii="Arial" w:hAnsi="Arial"/>
          <w:bCs/>
        </w:rPr>
      </w:r>
    </w:p>
    <w:tbl>
      <w:tblPr>
        <w:tblStyle w:val="Lentelstinklelis"/>
        <w:tblW w:w="9995" w:type="dxa"/>
        <w:jc w:val="left"/>
        <w:tblInd w:w="380" w:type="dxa"/>
        <w:tblLayout w:type="fixed"/>
        <w:tblCellMar>
          <w:top w:w="0" w:type="dxa"/>
          <w:left w:w="108" w:type="dxa"/>
          <w:bottom w:w="0" w:type="dxa"/>
          <w:right w:w="108" w:type="dxa"/>
        </w:tblCellMar>
        <w:tblLook w:firstRow="1" w:noVBand="1" w:lastRow="0" w:firstColumn="1" w:lastColumn="0" w:noHBand="0" w:val="04a0"/>
      </w:tblPr>
      <w:tblGrid>
        <w:gridCol w:w="718"/>
        <w:gridCol w:w="4741"/>
        <w:gridCol w:w="4536"/>
      </w:tblGrid>
      <w:tr>
        <w:trPr/>
        <w:tc>
          <w:tcPr>
            <w:tcW w:w="718" w:type="dxa"/>
            <w:tcBorders>
              <w:top w:val="single" w:sz="4" w:space="0" w:color="A6A6A6"/>
              <w:left w:val="single" w:sz="4" w:space="0" w:color="A6A6A6"/>
              <w:bottom w:val="single" w:sz="4" w:space="0" w:color="A6A6A6"/>
              <w:right w:val="single" w:sz="4" w:space="0" w:color="A6A6A6"/>
            </w:tcBorders>
            <w:shd w:color="auto" w:fill="C5E0B3" w:themeFill="accent6" w:themeFillTint="66" w:val="clear"/>
            <w:vAlign w:val="center"/>
          </w:tcPr>
          <w:p>
            <w:pPr>
              <w:pStyle w:val="Normal"/>
              <w:widowControl/>
              <w:suppressAutoHyphens w:val="true"/>
              <w:spacing w:lineRule="auto" w:line="240" w:before="0" w:after="0"/>
              <w:jc w:val="left"/>
              <w:rPr>
                <w:rFonts w:ascii="Arial" w:hAnsi="Arial" w:eastAsia="Trebuchet MS" w:cs="Arial"/>
                <w:b/>
                <w:bCs/>
              </w:rPr>
            </w:pPr>
            <w:r>
              <w:rPr>
                <w:rFonts w:eastAsia="Trebuchet MS" w:cs="Arial" w:ascii="Arial" w:hAnsi="Arial"/>
                <w:b/>
                <w:bCs/>
                <w:kern w:val="0"/>
                <w:szCs w:val="22"/>
                <w:lang w:eastAsia="en-US" w:bidi="ar-SA"/>
              </w:rPr>
              <w:t>Eil. Nr.</w:t>
            </w:r>
          </w:p>
        </w:tc>
        <w:tc>
          <w:tcPr>
            <w:tcW w:w="4741" w:type="dxa"/>
            <w:tcBorders>
              <w:top w:val="single" w:sz="4" w:space="0" w:color="A6A6A6"/>
              <w:left w:val="single" w:sz="4" w:space="0" w:color="A6A6A6"/>
              <w:bottom w:val="single" w:sz="4" w:space="0" w:color="A6A6A6"/>
              <w:right w:val="single" w:sz="4" w:space="0" w:color="A6A6A6"/>
            </w:tcBorders>
            <w:shd w:color="auto" w:fill="C5E0B3" w:themeFill="accent6" w:themeFillTint="66" w:val="clear"/>
            <w:vAlign w:val="center"/>
          </w:tcPr>
          <w:p>
            <w:pPr>
              <w:pStyle w:val="Normal"/>
              <w:widowControl/>
              <w:suppressAutoHyphens w:val="true"/>
              <w:spacing w:lineRule="auto" w:line="240" w:before="0" w:after="0"/>
              <w:jc w:val="left"/>
              <w:rPr>
                <w:rFonts w:ascii="Arial" w:hAnsi="Arial" w:eastAsia="Trebuchet MS" w:cs="Arial"/>
                <w:b/>
                <w:bCs/>
              </w:rPr>
            </w:pPr>
            <w:r>
              <w:rPr>
                <w:rFonts w:eastAsia="Trebuchet MS" w:cs="Arial" w:ascii="Arial" w:hAnsi="Arial"/>
                <w:b/>
                <w:bCs/>
                <w:kern w:val="0"/>
                <w:szCs w:val="22"/>
                <w:lang w:eastAsia="en-US" w:bidi="ar-SA"/>
              </w:rPr>
              <w:t>Pirkimo objekto pavadinimas</w:t>
            </w:r>
          </w:p>
        </w:tc>
        <w:tc>
          <w:tcPr>
            <w:tcW w:w="4536" w:type="dxa"/>
            <w:tcBorders>
              <w:top w:val="single" w:sz="4" w:space="0" w:color="A6A6A6"/>
              <w:left w:val="single" w:sz="4" w:space="0" w:color="A6A6A6"/>
              <w:bottom w:val="single" w:sz="4" w:space="0" w:color="A6A6A6"/>
              <w:right w:val="single" w:sz="4" w:space="0" w:color="A6A6A6"/>
            </w:tcBorders>
            <w:shd w:color="auto" w:fill="C5E0B3" w:themeFill="accent6" w:themeFillTint="66" w:val="clear"/>
            <w:vAlign w:val="center"/>
          </w:tcPr>
          <w:p>
            <w:pPr>
              <w:pStyle w:val="Normal"/>
              <w:widowControl/>
              <w:suppressAutoHyphens w:val="true"/>
              <w:spacing w:lineRule="auto" w:line="240" w:before="0" w:after="0"/>
              <w:jc w:val="left"/>
              <w:rPr>
                <w:rFonts w:ascii="Arial" w:hAnsi="Arial" w:eastAsia="Trebuchet MS" w:cs="Arial"/>
                <w:b/>
                <w:bCs/>
              </w:rPr>
            </w:pPr>
            <w:r>
              <w:rPr>
                <w:rFonts w:eastAsia="Trebuchet MS" w:cs="Arial" w:ascii="Arial" w:hAnsi="Arial"/>
                <w:b/>
                <w:bCs/>
                <w:kern w:val="0"/>
                <w:szCs w:val="22"/>
                <w:lang w:eastAsia="en-US" w:bidi="ar-SA"/>
              </w:rPr>
              <w:t>Darbuotojų skaičius</w:t>
            </w:r>
            <w:r>
              <w:rPr>
                <w:rFonts w:eastAsia="Calibri" w:cs="Arial" w:ascii="Arial" w:hAnsi="Arial"/>
                <w:b/>
                <w:bCs/>
                <w:kern w:val="0"/>
                <w:szCs w:val="22"/>
                <w:lang w:eastAsia="en-US" w:bidi="ar-SA"/>
              </w:rPr>
              <w:t xml:space="preserve"> </w:t>
            </w:r>
            <w:r>
              <w:rPr>
                <w:rFonts w:eastAsia="Trebuchet MS" w:cs="Arial" w:ascii="Arial" w:hAnsi="Arial"/>
                <w:b/>
                <w:bCs/>
                <w:kern w:val="0"/>
                <w:szCs w:val="22"/>
                <w:lang w:eastAsia="en-US" w:bidi="ar-SA"/>
              </w:rPr>
              <w:t>sutartie</w:t>
            </w:r>
            <w:r>
              <w:rPr>
                <w:rFonts w:eastAsia="Calibri" w:cs="Arial" w:ascii="Arial" w:hAnsi="Arial"/>
                <w:b/>
                <w:bCs/>
                <w:kern w:val="0"/>
                <w:szCs w:val="22"/>
                <w:lang w:eastAsia="en-US" w:bidi="ar-SA"/>
              </w:rPr>
              <w:t>s galiojimo laikotarpiu</w:t>
            </w:r>
          </w:p>
        </w:tc>
      </w:tr>
      <w:tr>
        <w:trPr>
          <w:trHeight w:val="623" w:hRule="atLeast"/>
        </w:trPr>
        <w:tc>
          <w:tcPr>
            <w:tcW w:w="718" w:type="dxa"/>
            <w:tcBorders>
              <w:top w:val="single" w:sz="4" w:space="0" w:color="A6A6A6"/>
              <w:left w:val="single" w:sz="4" w:space="0" w:color="A6A6A6"/>
              <w:bottom w:val="single" w:sz="4" w:space="0" w:color="A6A6A6"/>
              <w:right w:val="single" w:sz="4" w:space="0" w:color="A6A6A6"/>
            </w:tcBorders>
            <w:vAlign w:val="center"/>
          </w:tcPr>
          <w:p>
            <w:pPr>
              <w:pStyle w:val="Normal"/>
              <w:widowControl/>
              <w:suppressAutoHyphens w:val="true"/>
              <w:spacing w:lineRule="auto" w:line="240" w:before="0" w:after="0"/>
              <w:jc w:val="left"/>
              <w:rPr>
                <w:rFonts w:ascii="Arial" w:hAnsi="Arial" w:eastAsia="Trebuchet MS" w:cs="Arial"/>
              </w:rPr>
            </w:pPr>
            <w:r>
              <w:rPr>
                <w:rFonts w:eastAsia="Trebuchet MS" w:cs="Arial" w:ascii="Arial" w:hAnsi="Arial"/>
                <w:kern w:val="0"/>
                <w:szCs w:val="22"/>
                <w:lang w:eastAsia="en-US" w:bidi="ar-SA"/>
              </w:rPr>
              <w:t>1.</w:t>
            </w:r>
          </w:p>
        </w:tc>
        <w:tc>
          <w:tcPr>
            <w:tcW w:w="4741" w:type="dxa"/>
            <w:tcBorders>
              <w:top w:val="single" w:sz="4" w:space="0" w:color="A6A6A6"/>
              <w:left w:val="single" w:sz="4" w:space="0" w:color="A6A6A6"/>
              <w:bottom w:val="single" w:sz="4" w:space="0" w:color="A6A6A6"/>
              <w:right w:val="single" w:sz="4" w:space="0" w:color="A6A6A6"/>
            </w:tcBorders>
            <w:vAlign w:val="center"/>
          </w:tcPr>
          <w:p>
            <w:pPr>
              <w:pStyle w:val="Normal"/>
              <w:widowControl/>
              <w:suppressAutoHyphens w:val="true"/>
              <w:spacing w:lineRule="auto" w:line="240" w:before="0" w:after="0"/>
              <w:jc w:val="both"/>
              <w:rPr>
                <w:rFonts w:ascii="Arial" w:hAnsi="Arial" w:cs="Arial"/>
              </w:rPr>
            </w:pPr>
            <w:r>
              <w:rPr>
                <w:rFonts w:eastAsia="Calibri" w:cs="Arial" w:ascii="Arial" w:hAnsi="Arial"/>
                <w:kern w:val="0"/>
                <w:szCs w:val="22"/>
                <w:lang w:eastAsia="en-US" w:bidi="ar-SA"/>
              </w:rPr>
              <w:t>Valstybinių miškų urėdijos darbuotojų Draudimas nuo nelaimingų atsitikimų, tame tarpe:</w:t>
            </w:r>
          </w:p>
        </w:tc>
        <w:tc>
          <w:tcPr>
            <w:tcW w:w="4536" w:type="dxa"/>
            <w:tcBorders>
              <w:top w:val="single" w:sz="4" w:space="0" w:color="A6A6A6"/>
              <w:left w:val="single" w:sz="4" w:space="0" w:color="A6A6A6"/>
              <w:bottom w:val="single" w:sz="4" w:space="0" w:color="A6A6A6"/>
              <w:right w:val="single" w:sz="4" w:space="0" w:color="A6A6A6"/>
            </w:tcBorders>
            <w:vAlign w:val="center"/>
          </w:tcPr>
          <w:p>
            <w:pPr>
              <w:pStyle w:val="Normal"/>
              <w:widowControl/>
              <w:suppressAutoHyphens w:val="true"/>
              <w:spacing w:lineRule="auto" w:line="240" w:before="0" w:after="0"/>
              <w:jc w:val="left"/>
              <w:rPr>
                <w:rFonts w:ascii="Arial" w:hAnsi="Arial" w:cs="Arial"/>
                <w:lang w:val="en-US"/>
              </w:rPr>
            </w:pPr>
            <w:r>
              <w:rPr>
                <w:rFonts w:eastAsia="Calibri" w:cs="Arial" w:ascii="Arial" w:hAnsi="Arial"/>
                <w:kern w:val="0"/>
                <w:szCs w:val="22"/>
                <w:lang w:val="en-US" w:eastAsia="en-US" w:bidi="ar-SA"/>
              </w:rPr>
              <w:t>2 585</w:t>
            </w:r>
          </w:p>
        </w:tc>
      </w:tr>
      <w:tr>
        <w:trPr>
          <w:trHeight w:val="246" w:hRule="atLeast"/>
        </w:trPr>
        <w:tc>
          <w:tcPr>
            <w:tcW w:w="718" w:type="dxa"/>
            <w:tcBorders>
              <w:top w:val="single" w:sz="4" w:space="0" w:color="A6A6A6"/>
              <w:left w:val="single" w:sz="4" w:space="0" w:color="A6A6A6"/>
              <w:bottom w:val="single" w:sz="4" w:space="0" w:color="A6A6A6"/>
              <w:right w:val="single" w:sz="4" w:space="0" w:color="A6A6A6"/>
            </w:tcBorders>
            <w:vAlign w:val="center"/>
          </w:tcPr>
          <w:p>
            <w:pPr>
              <w:pStyle w:val="Normal"/>
              <w:widowControl/>
              <w:suppressAutoHyphens w:val="true"/>
              <w:spacing w:lineRule="auto" w:line="240" w:before="0" w:after="0"/>
              <w:jc w:val="left"/>
              <w:rPr>
                <w:rFonts w:ascii="Arial" w:hAnsi="Arial" w:eastAsia="Trebuchet MS" w:cs="Arial"/>
              </w:rPr>
            </w:pPr>
            <w:r>
              <w:rPr>
                <w:rFonts w:eastAsia="Trebuchet MS" w:cs="Arial" w:ascii="Arial" w:hAnsi="Arial"/>
                <w:kern w:val="0"/>
                <w:szCs w:val="22"/>
                <w:lang w:eastAsia="en-US" w:bidi="ar-SA"/>
              </w:rPr>
              <w:t>1.1.</w:t>
            </w:r>
          </w:p>
        </w:tc>
        <w:tc>
          <w:tcPr>
            <w:tcW w:w="4741" w:type="dxa"/>
            <w:tcBorders>
              <w:top w:val="single" w:sz="4" w:space="0" w:color="A6A6A6"/>
              <w:left w:val="single" w:sz="4" w:space="0" w:color="A6A6A6"/>
              <w:bottom w:val="single" w:sz="4" w:space="0" w:color="A6A6A6"/>
              <w:right w:val="single" w:sz="4" w:space="0" w:color="A6A6A6"/>
            </w:tcBorders>
            <w:vAlign w:val="center"/>
          </w:tcPr>
          <w:p>
            <w:pPr>
              <w:pStyle w:val="Normal"/>
              <w:widowControl/>
              <w:suppressAutoHyphens w:val="true"/>
              <w:spacing w:lineRule="auto" w:line="240" w:before="0" w:after="0"/>
              <w:jc w:val="both"/>
              <w:rPr>
                <w:rFonts w:ascii="Arial" w:hAnsi="Arial" w:cs="Arial"/>
              </w:rPr>
            </w:pPr>
            <w:r>
              <w:rPr>
                <w:rFonts w:eastAsia="Calibri" w:cs="Arial" w:ascii="Arial" w:hAnsi="Arial"/>
                <w:kern w:val="0"/>
                <w:szCs w:val="22"/>
                <w:lang w:eastAsia="en-US" w:bidi="ar-SA"/>
              </w:rPr>
              <w:t>Valstybinių miškų apsaugos pareigūnai</w:t>
            </w:r>
          </w:p>
        </w:tc>
        <w:tc>
          <w:tcPr>
            <w:tcW w:w="4536" w:type="dxa"/>
            <w:tcBorders>
              <w:top w:val="single" w:sz="4" w:space="0" w:color="A6A6A6"/>
              <w:left w:val="single" w:sz="4" w:space="0" w:color="A6A6A6"/>
              <w:bottom w:val="single" w:sz="4" w:space="0" w:color="A6A6A6"/>
              <w:right w:val="single" w:sz="4" w:space="0" w:color="A6A6A6"/>
            </w:tcBorders>
            <w:vAlign w:val="center"/>
          </w:tcPr>
          <w:p>
            <w:pPr>
              <w:pStyle w:val="Normal"/>
              <w:widowControl/>
              <w:suppressAutoHyphens w:val="true"/>
              <w:spacing w:lineRule="auto" w:line="240" w:before="0" w:after="0"/>
              <w:jc w:val="left"/>
              <w:rPr>
                <w:rFonts w:ascii="Arial" w:hAnsi="Arial" w:cs="Arial"/>
                <w:lang w:val="en-US"/>
              </w:rPr>
            </w:pPr>
            <w:r>
              <w:rPr>
                <w:rFonts w:eastAsia="Calibri" w:cs="Arial" w:ascii="Arial" w:hAnsi="Arial"/>
                <w:kern w:val="0"/>
                <w:szCs w:val="22"/>
                <w:lang w:val="en-US" w:eastAsia="en-US" w:bidi="ar-SA"/>
              </w:rPr>
              <w:t>243</w:t>
            </w:r>
          </w:p>
        </w:tc>
      </w:tr>
      <w:tr>
        <w:trPr>
          <w:trHeight w:val="122" w:hRule="atLeast"/>
        </w:trPr>
        <w:tc>
          <w:tcPr>
            <w:tcW w:w="718" w:type="dxa"/>
            <w:tcBorders>
              <w:top w:val="single" w:sz="4" w:space="0" w:color="A6A6A6"/>
              <w:left w:val="single" w:sz="4" w:space="0" w:color="A6A6A6"/>
              <w:bottom w:val="single" w:sz="4" w:space="0" w:color="A6A6A6"/>
              <w:right w:val="single" w:sz="4" w:space="0" w:color="A6A6A6"/>
            </w:tcBorders>
            <w:vAlign w:val="center"/>
          </w:tcPr>
          <w:p>
            <w:pPr>
              <w:pStyle w:val="Normal"/>
              <w:widowControl/>
              <w:suppressAutoHyphens w:val="true"/>
              <w:spacing w:lineRule="auto" w:line="240" w:before="0" w:after="0"/>
              <w:jc w:val="left"/>
              <w:rPr>
                <w:rFonts w:ascii="Arial" w:hAnsi="Arial" w:eastAsia="Trebuchet MS" w:cs="Arial"/>
              </w:rPr>
            </w:pPr>
            <w:r>
              <w:rPr>
                <w:rFonts w:eastAsia="Trebuchet MS" w:cs="Arial" w:ascii="Arial" w:hAnsi="Arial"/>
                <w:kern w:val="0"/>
                <w:szCs w:val="22"/>
                <w:lang w:eastAsia="en-US" w:bidi="ar-SA"/>
              </w:rPr>
              <w:t>1.2.</w:t>
            </w:r>
          </w:p>
        </w:tc>
        <w:tc>
          <w:tcPr>
            <w:tcW w:w="4741" w:type="dxa"/>
            <w:tcBorders>
              <w:top w:val="single" w:sz="4" w:space="0" w:color="A6A6A6"/>
              <w:left w:val="single" w:sz="4" w:space="0" w:color="A6A6A6"/>
              <w:bottom w:val="single" w:sz="4" w:space="0" w:color="A6A6A6"/>
              <w:right w:val="single" w:sz="4" w:space="0" w:color="A6A6A6"/>
            </w:tcBorders>
            <w:vAlign w:val="center"/>
          </w:tcPr>
          <w:p>
            <w:pPr>
              <w:pStyle w:val="Normal"/>
              <w:widowControl/>
              <w:suppressAutoHyphens w:val="true"/>
              <w:spacing w:lineRule="auto" w:line="240" w:before="0" w:after="0"/>
              <w:jc w:val="both"/>
              <w:rPr>
                <w:rFonts w:ascii="Arial" w:hAnsi="Arial" w:cs="Arial"/>
              </w:rPr>
            </w:pPr>
            <w:r>
              <w:rPr>
                <w:rFonts w:eastAsia="Calibri" w:cs="Arial" w:ascii="Arial" w:hAnsi="Arial"/>
                <w:kern w:val="0"/>
                <w:szCs w:val="22"/>
                <w:lang w:eastAsia="en-US" w:bidi="ar-SA"/>
              </w:rPr>
              <w:t>Kiti darbuotojai</w:t>
            </w:r>
          </w:p>
        </w:tc>
        <w:tc>
          <w:tcPr>
            <w:tcW w:w="4536" w:type="dxa"/>
            <w:tcBorders>
              <w:top w:val="single" w:sz="4" w:space="0" w:color="A6A6A6"/>
              <w:left w:val="single" w:sz="4" w:space="0" w:color="A6A6A6"/>
              <w:bottom w:val="single" w:sz="4" w:space="0" w:color="A6A6A6"/>
              <w:right w:val="single" w:sz="4" w:space="0" w:color="A6A6A6"/>
            </w:tcBorders>
            <w:vAlign w:val="center"/>
          </w:tcPr>
          <w:p>
            <w:pPr>
              <w:pStyle w:val="Normal"/>
              <w:widowControl/>
              <w:suppressAutoHyphens w:val="true"/>
              <w:spacing w:lineRule="auto" w:line="240" w:before="0" w:after="0"/>
              <w:jc w:val="left"/>
              <w:rPr>
                <w:rFonts w:ascii="Arial" w:hAnsi="Arial" w:cs="Arial"/>
                <w:lang w:val="en-US"/>
              </w:rPr>
            </w:pPr>
            <w:r>
              <w:rPr>
                <w:rFonts w:eastAsia="Calibri" w:cs="Arial" w:ascii="Arial" w:hAnsi="Arial"/>
                <w:kern w:val="0"/>
                <w:szCs w:val="22"/>
                <w:lang w:val="en-US" w:eastAsia="en-US" w:bidi="ar-SA"/>
              </w:rPr>
              <w:t>2 3</w:t>
            </w:r>
            <w:bookmarkStart w:id="2" w:name="_Hlk73538946"/>
            <w:bookmarkEnd w:id="2"/>
            <w:r>
              <w:rPr>
                <w:rFonts w:eastAsia="Calibri" w:cs="Arial" w:ascii="Arial" w:hAnsi="Arial"/>
                <w:kern w:val="0"/>
                <w:szCs w:val="22"/>
                <w:lang w:val="en-US" w:eastAsia="en-US" w:bidi="ar-SA"/>
              </w:rPr>
              <w:t>42</w:t>
            </w:r>
          </w:p>
        </w:tc>
      </w:tr>
    </w:tbl>
    <w:p>
      <w:pPr>
        <w:pStyle w:val="Normal"/>
        <w:spacing w:lineRule="auto" w:line="240" w:before="0" w:after="0"/>
        <w:ind w:left="2835"/>
        <w:jc w:val="right"/>
        <w:rPr>
          <w:rFonts w:ascii="Arial" w:hAnsi="Arial" w:eastAsia="Trebuchet MS" w:cs="Arial"/>
          <w:i/>
          <w:i/>
          <w:iCs/>
        </w:rPr>
      </w:pPr>
      <w:r>
        <w:rPr>
          <w:rFonts w:eastAsia="Trebuchet MS" w:cs="Arial" w:ascii="Arial" w:hAnsi="Arial"/>
          <w:i/>
          <w:iCs/>
          <w:lang w:val="en-US"/>
        </w:rPr>
        <w:t xml:space="preserve">*2.2. </w:t>
      </w:r>
      <w:r>
        <w:rPr>
          <w:rFonts w:eastAsia="Trebuchet MS" w:cs="Arial" w:ascii="Arial" w:hAnsi="Arial"/>
          <w:i/>
          <w:iCs/>
        </w:rPr>
        <w:t xml:space="preserve">punkte nurodytas darbuotojų skaičius 2025 07 17 dienai </w:t>
      </w:r>
    </w:p>
    <w:p>
      <w:pPr>
        <w:pStyle w:val="Normal"/>
        <w:spacing w:before="0" w:after="0"/>
        <w:ind w:firstLine="720" w:left="4320"/>
        <w:jc w:val="both"/>
        <w:rPr>
          <w:rFonts w:ascii="Arial" w:hAnsi="Arial" w:eastAsia="Trebuchet MS" w:cs="Arial"/>
          <w:i/>
          <w:i/>
          <w:iCs/>
        </w:rPr>
      </w:pPr>
      <w:r>
        <w:rPr>
          <w:rFonts w:eastAsia="Trebuchet MS" w:cs="Arial" w:ascii="Arial" w:hAnsi="Arial"/>
          <w:i/>
          <w:iCs/>
        </w:rPr>
      </w:r>
    </w:p>
    <w:p>
      <w:pPr>
        <w:pStyle w:val="ListParagraph"/>
        <w:numPr>
          <w:ilvl w:val="1"/>
          <w:numId w:val="1"/>
        </w:numPr>
        <w:spacing w:lineRule="auto" w:line="240" w:before="0" w:after="0"/>
        <w:ind w:hanging="567" w:left="1134"/>
        <w:contextualSpacing/>
        <w:jc w:val="both"/>
        <w:rPr>
          <w:rFonts w:ascii="Arial" w:hAnsi="Arial" w:cs="Arial"/>
          <w:b/>
        </w:rPr>
      </w:pPr>
      <w:r>
        <w:rPr>
          <w:rFonts w:cs="Arial" w:ascii="Arial" w:hAnsi="Arial"/>
          <w:b/>
        </w:rPr>
        <w:t xml:space="preserve">Perkamų paslaugų apimtis – preliminarus draudžiamų darbuotojų skaičius yra 2 585. Draudimo laikotarpiu darbuotojų skaičius gali padidėti iki 15 procentų, o sumažėti iki 30 procentų. </w:t>
      </w:r>
    </w:p>
    <w:p>
      <w:pPr>
        <w:pStyle w:val="ListParagraph"/>
        <w:numPr>
          <w:ilvl w:val="1"/>
          <w:numId w:val="1"/>
        </w:numPr>
        <w:ind w:hanging="567" w:left="1134"/>
        <w:jc w:val="both"/>
        <w:rPr>
          <w:rFonts w:ascii="Arial" w:hAnsi="Arial" w:cs="Arial"/>
          <w:bCs/>
        </w:rPr>
      </w:pPr>
      <w:r>
        <w:rPr>
          <w:rFonts w:cs="Arial" w:ascii="Arial" w:hAnsi="Arial"/>
          <w:bCs/>
        </w:rPr>
        <w:t>Darbuotojų pareigybių sąrašas ir etatų skaičius pridedamas (Techninės specifikacijos priedas Nr. 1). Šis sąrašas yra tik informacinio pobūdžio ir Sutarties vykdymo metu gali keistis, tačiau ne daugiau kaip nurodyta 2.3 punkte.</w:t>
      </w:r>
    </w:p>
    <w:p>
      <w:pPr>
        <w:pStyle w:val="ListParagraph"/>
        <w:numPr>
          <w:ilvl w:val="1"/>
          <w:numId w:val="1"/>
        </w:numPr>
        <w:ind w:hanging="567" w:left="1134"/>
        <w:rPr>
          <w:rFonts w:ascii="Arial" w:hAnsi="Arial" w:cs="Arial"/>
          <w:b/>
        </w:rPr>
      </w:pPr>
      <w:r>
        <w:rPr>
          <w:rFonts w:cs="Arial" w:ascii="Arial" w:hAnsi="Arial"/>
          <w:b/>
        </w:rPr>
        <w:t>Draudimo laikotarpis 202</w:t>
      </w:r>
      <w:r>
        <w:rPr>
          <w:rFonts w:cs="Arial" w:ascii="Arial" w:hAnsi="Arial"/>
          <w:b/>
          <w:lang w:val="en-US"/>
        </w:rPr>
        <w:t>6</w:t>
      </w:r>
      <w:r>
        <w:rPr>
          <w:rFonts w:cs="Arial" w:ascii="Arial" w:hAnsi="Arial"/>
          <w:b/>
        </w:rPr>
        <w:t xml:space="preserve"> m. sausio 10 d. 00:00 val. – 2027 m. sausio 9 d. 24:00 val.</w:t>
      </w:r>
    </w:p>
    <w:p>
      <w:pPr>
        <w:pStyle w:val="ListParagraph"/>
        <w:ind w:left="1134"/>
        <w:rPr>
          <w:rFonts w:ascii="Arial" w:hAnsi="Arial" w:cs="Arial"/>
          <w:bCs/>
        </w:rPr>
      </w:pPr>
      <w:r>
        <w:rPr>
          <w:rFonts w:cs="Arial" w:ascii="Arial" w:hAnsi="Arial"/>
          <w:bCs/>
        </w:rPr>
      </w:r>
    </w:p>
    <w:p>
      <w:pPr>
        <w:pStyle w:val="ListParagraph"/>
        <w:numPr>
          <w:ilvl w:val="0"/>
          <w:numId w:val="1"/>
        </w:numPr>
        <w:spacing w:lineRule="auto" w:line="240" w:before="0" w:after="0"/>
        <w:ind w:hanging="708" w:left="1134"/>
        <w:contextualSpacing/>
        <w:jc w:val="both"/>
        <w:rPr>
          <w:rFonts w:ascii="Arial" w:hAnsi="Arial" w:cs="Arial"/>
          <w:b/>
        </w:rPr>
      </w:pPr>
      <w:r>
        <w:rPr>
          <w:rFonts w:cs="Arial" w:ascii="Arial" w:hAnsi="Arial"/>
          <w:b/>
        </w:rPr>
        <w:t>BENDRIEJI REIKALAVIMAI, KURIUOS TURI ATITIKTI PERKAMOS PASLAUGOS:</w:t>
      </w:r>
    </w:p>
    <w:p>
      <w:pPr>
        <w:pStyle w:val="ListParagraph"/>
        <w:shd w:val="clear" w:color="auto" w:fill="FFFFFF"/>
        <w:spacing w:lineRule="auto" w:line="240" w:before="16" w:after="0"/>
        <w:ind w:left="1134"/>
        <w:contextualSpacing/>
        <w:jc w:val="both"/>
        <w:rPr>
          <w:rFonts w:ascii="Arial" w:hAnsi="Arial" w:eastAsia="Times New Roman" w:cs="Arial"/>
          <w:lang w:eastAsia="lt-LT"/>
        </w:rPr>
      </w:pPr>
      <w:r>
        <w:rPr>
          <w:rFonts w:eastAsia="Times New Roman" w:cs="Arial" w:ascii="Arial" w:hAnsi="Arial"/>
          <w:lang w:eastAsia="lt-LT"/>
        </w:rPr>
      </w:r>
      <w:bookmarkStart w:id="3" w:name="_Hlk39831462"/>
      <w:bookmarkStart w:id="4" w:name="_Hlk39831462"/>
      <w:bookmarkEnd w:id="4"/>
    </w:p>
    <w:p>
      <w:pPr>
        <w:pStyle w:val="ListParagraph"/>
        <w:numPr>
          <w:ilvl w:val="1"/>
          <w:numId w:val="1"/>
        </w:numPr>
        <w:shd w:val="clear" w:color="auto" w:fill="FFFFFF"/>
        <w:spacing w:lineRule="auto" w:line="240" w:before="16" w:after="0"/>
        <w:ind w:hanging="567" w:left="1134"/>
        <w:contextualSpacing/>
        <w:jc w:val="both"/>
        <w:rPr>
          <w:rFonts w:ascii="Arial" w:hAnsi="Arial" w:eastAsia="Times New Roman" w:cs="Arial"/>
          <w:lang w:eastAsia="lt-LT"/>
        </w:rPr>
      </w:pPr>
      <w:r>
        <w:rPr>
          <w:rFonts w:eastAsia="Times New Roman" w:cs="Arial" w:ascii="Arial" w:hAnsi="Arial"/>
          <w:lang w:eastAsia="lt-LT"/>
        </w:rPr>
        <w:t xml:space="preserve">Teikėjas įsipareigoja apdrausti </w:t>
      </w:r>
      <w:r>
        <w:rPr>
          <w:rFonts w:cs="Arial" w:ascii="Arial" w:hAnsi="Arial"/>
        </w:rPr>
        <w:t>Valstybinių miškų urėdijos</w:t>
      </w:r>
      <w:r>
        <w:rPr>
          <w:rFonts w:eastAsia="Times New Roman" w:cs="Arial" w:ascii="Arial" w:hAnsi="Arial"/>
          <w:lang w:eastAsia="lt-LT"/>
        </w:rPr>
        <w:t xml:space="preserve"> darbuotojus nuo nelaimingų atsitikimų: draudžiamas </w:t>
      </w:r>
      <w:r>
        <w:rPr>
          <w:rFonts w:cs="Arial" w:ascii="Arial" w:hAnsi="Arial"/>
          <w:color w:val="000000"/>
        </w:rPr>
        <w:t>turtinis interesas, susijęs su Apdraustojo sveikatos sutrikimu ir (arba) mirtimi dėl nelaimingo atsitikimo. Nelaimingas atsitikimas – staigus, netikėtas įvykis, kurio metu prieš Apdraustojo valią Apdraustojo kūną iš išorės veikianti fizinė jėga (arba kitos aplinkybės nurodytos šioje Techninėje specifikacijoje) pakenkia Apdraustojo sveikatai ar tampa jo mirties ar neįgalumo priežastimi</w:t>
      </w:r>
      <w:r>
        <w:rPr>
          <w:rFonts w:eastAsia="Times New Roman" w:cs="Arial" w:ascii="Arial" w:hAnsi="Arial"/>
          <w:lang w:eastAsia="lt-LT"/>
        </w:rPr>
        <w:t>.</w:t>
      </w:r>
    </w:p>
    <w:p>
      <w:pPr>
        <w:pStyle w:val="ListParagraph"/>
        <w:numPr>
          <w:ilvl w:val="1"/>
          <w:numId w:val="1"/>
        </w:numPr>
        <w:shd w:val="clear" w:color="auto" w:fill="FFFFFF"/>
        <w:spacing w:lineRule="auto" w:line="240" w:before="16" w:after="0"/>
        <w:ind w:hanging="567" w:left="1134"/>
        <w:contextualSpacing/>
        <w:jc w:val="both"/>
        <w:rPr>
          <w:rFonts w:ascii="Arial" w:hAnsi="Arial" w:eastAsia="Times New Roman" w:cs="Arial"/>
          <w:lang w:eastAsia="lt-LT"/>
        </w:rPr>
      </w:pPr>
      <w:r>
        <w:rPr>
          <w:rFonts w:eastAsia="Times New Roman" w:cs="Arial" w:ascii="Arial" w:hAnsi="Arial"/>
          <w:lang w:eastAsia="lt-LT"/>
        </w:rPr>
        <w:t>Draudžiamos rizikos: mirtis; neįgalumas; kaulų lūžiai; išnirimai ir kitos traumos.</w:t>
      </w:r>
    </w:p>
    <w:p>
      <w:pPr>
        <w:pStyle w:val="ListParagraph"/>
        <w:numPr>
          <w:ilvl w:val="1"/>
          <w:numId w:val="1"/>
        </w:numPr>
        <w:shd w:val="clear" w:color="auto" w:fill="FFFFFF"/>
        <w:spacing w:lineRule="auto" w:line="240" w:before="16" w:after="0"/>
        <w:ind w:hanging="567" w:left="1134"/>
        <w:contextualSpacing/>
        <w:jc w:val="both"/>
        <w:rPr>
          <w:rFonts w:ascii="Arial" w:hAnsi="Arial" w:eastAsia="Times New Roman" w:cs="Arial"/>
          <w:lang w:eastAsia="lt-LT"/>
        </w:rPr>
      </w:pPr>
      <w:r>
        <w:rPr>
          <w:rFonts w:eastAsia="Times New Roman" w:cs="Arial" w:ascii="Arial" w:hAnsi="Arial"/>
          <w:lang w:eastAsia="lt-LT"/>
        </w:rPr>
        <w:t xml:space="preserve">Draudimo apsauga turi galioti 24 valandas per parą, 7 dienas per savaitę. </w:t>
      </w:r>
    </w:p>
    <w:p>
      <w:pPr>
        <w:pStyle w:val="ListParagraph"/>
        <w:numPr>
          <w:ilvl w:val="1"/>
          <w:numId w:val="1"/>
        </w:numPr>
        <w:shd w:val="clear" w:color="auto" w:fill="FFFFFF"/>
        <w:spacing w:lineRule="auto" w:line="240" w:before="16" w:after="0"/>
        <w:ind w:hanging="567" w:left="1134"/>
        <w:contextualSpacing/>
        <w:jc w:val="both"/>
        <w:rPr>
          <w:rFonts w:ascii="Arial" w:hAnsi="Arial" w:eastAsia="Times New Roman" w:cs="Arial"/>
          <w:lang w:eastAsia="lt-LT"/>
        </w:rPr>
      </w:pPr>
      <w:r>
        <w:rPr>
          <w:rFonts w:eastAsia="Times New Roman" w:cs="Arial" w:ascii="Arial" w:hAnsi="Arial"/>
          <w:lang w:eastAsia="lt-LT"/>
        </w:rPr>
        <w:t xml:space="preserve">Draudimo apsauga turi galioti tiek darbo, tiek ne darbo metu.  </w:t>
      </w:r>
    </w:p>
    <w:p>
      <w:pPr>
        <w:pStyle w:val="ListParagraph"/>
        <w:numPr>
          <w:ilvl w:val="1"/>
          <w:numId w:val="1"/>
        </w:numPr>
        <w:shd w:val="clear" w:color="auto" w:fill="FFFFFF"/>
        <w:spacing w:lineRule="auto" w:line="240" w:before="16" w:after="0"/>
        <w:ind w:hanging="567" w:left="1134"/>
        <w:contextualSpacing/>
        <w:jc w:val="both"/>
        <w:rPr>
          <w:rFonts w:ascii="Arial" w:hAnsi="Arial" w:eastAsia="Times New Roman" w:cs="Arial"/>
          <w:lang w:eastAsia="lt-LT"/>
        </w:rPr>
      </w:pPr>
      <w:r>
        <w:rPr>
          <w:rFonts w:eastAsia="Times New Roman" w:cs="Arial" w:ascii="Arial" w:hAnsi="Arial"/>
          <w:lang w:eastAsia="lt-LT"/>
        </w:rPr>
        <w:t xml:space="preserve">Draudžiamų įvykių skaičius per draudimo sutarties galiojimo laikotarpį neribojamas. </w:t>
      </w:r>
    </w:p>
    <w:p>
      <w:pPr>
        <w:pStyle w:val="ListParagraph"/>
        <w:numPr>
          <w:ilvl w:val="1"/>
          <w:numId w:val="1"/>
        </w:numPr>
        <w:shd w:val="clear" w:color="auto" w:fill="FFFFFF"/>
        <w:spacing w:lineRule="auto" w:line="240" w:before="16" w:after="0"/>
        <w:ind w:hanging="567" w:left="1134"/>
        <w:contextualSpacing/>
        <w:jc w:val="both"/>
        <w:rPr>
          <w:rFonts w:ascii="Arial" w:hAnsi="Arial" w:eastAsia="Times New Roman" w:cs="Arial"/>
          <w:lang w:eastAsia="lt-LT"/>
        </w:rPr>
      </w:pPr>
      <w:r>
        <w:rPr>
          <w:rFonts w:eastAsia="Times New Roman" w:cs="Arial" w:ascii="Arial" w:hAnsi="Arial"/>
          <w:lang w:eastAsia="lt-LT"/>
        </w:rPr>
        <w:t>Draudimo suma vienam Apdraustajam:</w:t>
      </w:r>
    </w:p>
    <w:p>
      <w:pPr>
        <w:pStyle w:val="ListParagraph"/>
        <w:numPr>
          <w:ilvl w:val="2"/>
          <w:numId w:val="1"/>
        </w:numPr>
        <w:shd w:val="clear" w:color="auto" w:fill="FFFFFF"/>
        <w:spacing w:lineRule="auto" w:line="240" w:before="16" w:after="0"/>
        <w:ind w:hanging="425" w:left="1134"/>
        <w:contextualSpacing/>
        <w:jc w:val="both"/>
        <w:rPr>
          <w:rFonts w:ascii="Arial" w:hAnsi="Arial" w:eastAsia="Times New Roman" w:cs="Arial"/>
          <w:lang w:eastAsia="lt-LT"/>
        </w:rPr>
      </w:pPr>
      <w:r>
        <w:rPr>
          <w:rFonts w:eastAsia="Times New Roman" w:cs="Arial" w:ascii="Arial" w:hAnsi="Arial"/>
          <w:lang w:eastAsia="lt-LT"/>
        </w:rPr>
        <w:t>Mirtis:</w:t>
      </w:r>
    </w:p>
    <w:p>
      <w:pPr>
        <w:pStyle w:val="ListParagraph"/>
        <w:numPr>
          <w:ilvl w:val="3"/>
          <w:numId w:val="1"/>
        </w:numPr>
        <w:shd w:val="clear" w:color="auto" w:fill="FFFFFF"/>
        <w:spacing w:lineRule="auto" w:line="240" w:before="16" w:after="0"/>
        <w:ind w:hanging="425" w:left="1276"/>
        <w:contextualSpacing/>
        <w:jc w:val="both"/>
        <w:rPr>
          <w:rFonts w:ascii="Arial" w:hAnsi="Arial" w:eastAsia="Times New Roman" w:cs="Arial"/>
          <w:lang w:eastAsia="lt-LT"/>
        </w:rPr>
      </w:pPr>
      <w:r>
        <w:rPr>
          <w:rFonts w:eastAsia="Times New Roman" w:cs="Arial" w:ascii="Arial" w:hAnsi="Arial"/>
          <w:lang w:eastAsia="lt-LT"/>
        </w:rPr>
        <w:t>miškų apsaugos pareigūnai – 109 000 EUR (šimtas devyni tūkstančiai EUR);</w:t>
      </w:r>
    </w:p>
    <w:p>
      <w:pPr>
        <w:pStyle w:val="ListParagraph"/>
        <w:numPr>
          <w:ilvl w:val="3"/>
          <w:numId w:val="1"/>
        </w:numPr>
        <w:shd w:val="clear" w:color="auto" w:fill="FFFFFF"/>
        <w:spacing w:lineRule="auto" w:line="240" w:before="16" w:after="0"/>
        <w:ind w:hanging="425" w:left="1276"/>
        <w:contextualSpacing/>
        <w:jc w:val="both"/>
        <w:rPr>
          <w:rFonts w:ascii="Arial" w:hAnsi="Arial" w:eastAsia="Times New Roman" w:cs="Arial"/>
          <w:lang w:eastAsia="lt-LT"/>
        </w:rPr>
      </w:pPr>
      <w:r>
        <w:rPr>
          <w:rFonts w:eastAsia="Times New Roman" w:cs="Arial" w:ascii="Arial" w:hAnsi="Arial"/>
          <w:lang w:eastAsia="lt-LT"/>
        </w:rPr>
        <w:t>kiti darbuotojai – 50 000,00 EUR (penkiasdešimt tūkstančių EUR).</w:t>
      </w:r>
    </w:p>
    <w:p>
      <w:pPr>
        <w:pStyle w:val="ListParagraph"/>
        <w:numPr>
          <w:ilvl w:val="2"/>
          <w:numId w:val="1"/>
        </w:numPr>
        <w:shd w:val="clear" w:color="auto" w:fill="FFFFFF"/>
        <w:spacing w:lineRule="auto" w:line="240" w:before="16" w:after="0"/>
        <w:ind w:hanging="425" w:left="1134"/>
        <w:contextualSpacing/>
        <w:jc w:val="both"/>
        <w:rPr>
          <w:rFonts w:ascii="Arial" w:hAnsi="Arial" w:eastAsia="Times New Roman" w:cs="Arial"/>
          <w:lang w:eastAsia="lt-LT"/>
        </w:rPr>
      </w:pPr>
      <w:r>
        <w:rPr>
          <w:rFonts w:eastAsia="Times New Roman" w:cs="Arial" w:ascii="Arial" w:hAnsi="Arial"/>
          <w:lang w:eastAsia="lt-LT"/>
        </w:rPr>
        <w:t>Neįgalumas:</w:t>
      </w:r>
    </w:p>
    <w:p>
      <w:pPr>
        <w:pStyle w:val="ListParagraph"/>
        <w:numPr>
          <w:ilvl w:val="3"/>
          <w:numId w:val="1"/>
        </w:numPr>
        <w:shd w:val="clear" w:color="auto" w:fill="FFFFFF"/>
        <w:spacing w:lineRule="auto" w:line="240" w:before="16" w:after="0"/>
        <w:ind w:hanging="283" w:left="1134"/>
        <w:contextualSpacing/>
        <w:jc w:val="both"/>
        <w:rPr>
          <w:rFonts w:ascii="Arial" w:hAnsi="Arial" w:eastAsia="Times New Roman" w:cs="Arial"/>
          <w:lang w:eastAsia="lt-LT"/>
        </w:rPr>
      </w:pPr>
      <w:r>
        <w:rPr>
          <w:rFonts w:eastAsia="Times New Roman" w:cs="Arial" w:ascii="Arial" w:hAnsi="Arial"/>
          <w:lang w:eastAsia="lt-LT"/>
        </w:rPr>
        <w:t>miškų apsaugos pareigūnai – ne mažiau 50 000,00 EUR (penkiasdešimt tūkstančių EUR);</w:t>
      </w:r>
    </w:p>
    <w:p>
      <w:pPr>
        <w:pStyle w:val="ListParagraph"/>
        <w:numPr>
          <w:ilvl w:val="3"/>
          <w:numId w:val="1"/>
        </w:numPr>
        <w:shd w:val="clear" w:color="auto" w:fill="FFFFFF"/>
        <w:spacing w:lineRule="auto" w:line="240" w:before="16" w:after="0"/>
        <w:ind w:hanging="283" w:left="1134"/>
        <w:contextualSpacing/>
        <w:jc w:val="both"/>
        <w:rPr>
          <w:rFonts w:ascii="Arial" w:hAnsi="Arial" w:eastAsia="Times New Roman" w:cs="Arial"/>
          <w:lang w:eastAsia="lt-LT"/>
        </w:rPr>
      </w:pPr>
      <w:r>
        <w:rPr>
          <w:rFonts w:eastAsia="Times New Roman" w:cs="Arial" w:ascii="Arial" w:hAnsi="Arial"/>
          <w:lang w:eastAsia="lt-LT"/>
        </w:rPr>
        <w:t>kiti darbuotojai – ne mažiau 50 000,00 EUR (penkiasdešimt tūkstančių EUR).</w:t>
      </w:r>
    </w:p>
    <w:p>
      <w:pPr>
        <w:pStyle w:val="ListParagraph"/>
        <w:numPr>
          <w:ilvl w:val="2"/>
          <w:numId w:val="1"/>
        </w:numPr>
        <w:shd w:val="clear" w:color="auto" w:fill="FFFFFF"/>
        <w:spacing w:lineRule="auto" w:line="240" w:before="16" w:after="0"/>
        <w:ind w:hanging="425" w:left="1134"/>
        <w:contextualSpacing/>
        <w:jc w:val="both"/>
        <w:rPr>
          <w:rFonts w:ascii="Arial" w:hAnsi="Arial" w:eastAsia="Times New Roman" w:cs="Arial"/>
          <w:lang w:eastAsia="lt-LT"/>
        </w:rPr>
      </w:pPr>
      <w:r>
        <w:rPr>
          <w:rFonts w:eastAsia="Times New Roman" w:cs="Arial" w:ascii="Arial" w:hAnsi="Arial"/>
          <w:lang w:eastAsia="lt-LT"/>
        </w:rPr>
        <w:t>Kaulų lūžiai, išnirimai ir kitos traumos:</w:t>
      </w:r>
    </w:p>
    <w:p>
      <w:pPr>
        <w:pStyle w:val="ListParagraph"/>
        <w:numPr>
          <w:ilvl w:val="3"/>
          <w:numId w:val="1"/>
        </w:numPr>
        <w:shd w:val="clear" w:color="auto" w:fill="FFFFFF"/>
        <w:spacing w:lineRule="auto" w:line="240" w:before="16" w:after="0"/>
        <w:ind w:hanging="283" w:left="1134"/>
        <w:contextualSpacing/>
        <w:jc w:val="both"/>
        <w:rPr>
          <w:rFonts w:ascii="Arial" w:hAnsi="Arial" w:eastAsia="Times New Roman" w:cs="Arial"/>
          <w:lang w:eastAsia="lt-LT"/>
        </w:rPr>
      </w:pPr>
      <w:r>
        <w:rPr>
          <w:rFonts w:eastAsia="Times New Roman" w:cs="Arial" w:ascii="Arial" w:hAnsi="Arial"/>
          <w:lang w:eastAsia="lt-LT"/>
        </w:rPr>
        <w:t>miško apsaugos pareigūnai – 10 000,00 EUR (dešimt tūkstančių EUR);</w:t>
      </w:r>
    </w:p>
    <w:p>
      <w:pPr>
        <w:pStyle w:val="ListParagraph"/>
        <w:numPr>
          <w:ilvl w:val="3"/>
          <w:numId w:val="1"/>
        </w:numPr>
        <w:shd w:val="clear" w:color="auto" w:fill="FFFFFF"/>
        <w:spacing w:lineRule="auto" w:line="240" w:before="16" w:after="0"/>
        <w:ind w:hanging="283" w:left="1134"/>
        <w:contextualSpacing/>
        <w:jc w:val="both"/>
        <w:rPr>
          <w:rFonts w:ascii="Arial" w:hAnsi="Arial" w:eastAsia="Times New Roman" w:cs="Arial"/>
          <w:lang w:eastAsia="lt-LT"/>
        </w:rPr>
      </w:pPr>
      <w:r>
        <w:rPr>
          <w:rFonts w:eastAsia="Times New Roman" w:cs="Arial" w:ascii="Arial" w:hAnsi="Arial"/>
          <w:lang w:eastAsia="lt-LT"/>
        </w:rPr>
        <w:t>kiti darbuotojai – 10 000,00 EUR (dešimt tūkstančių EUR).</w:t>
      </w:r>
    </w:p>
    <w:p>
      <w:pPr>
        <w:pStyle w:val="ListParagraph"/>
        <w:numPr>
          <w:ilvl w:val="1"/>
          <w:numId w:val="1"/>
        </w:numPr>
        <w:shd w:val="clear" w:color="auto" w:fill="FFFFFF"/>
        <w:spacing w:lineRule="auto" w:line="240" w:before="16" w:after="0"/>
        <w:ind w:hanging="567" w:left="1134"/>
        <w:contextualSpacing/>
        <w:jc w:val="both"/>
        <w:rPr>
          <w:rFonts w:ascii="Arial" w:hAnsi="Arial" w:eastAsia="Times New Roman" w:cs="Arial"/>
          <w:lang w:eastAsia="lt-LT"/>
        </w:rPr>
      </w:pPr>
      <w:r>
        <w:rPr>
          <w:rFonts w:eastAsia="Times New Roman" w:cs="Arial" w:ascii="Arial" w:hAnsi="Arial"/>
          <w:lang w:eastAsia="lt-LT"/>
        </w:rPr>
        <w:t>Besąlyginė išskaita – 0,00 Eur.</w:t>
      </w:r>
    </w:p>
    <w:p>
      <w:pPr>
        <w:pStyle w:val="ListParagraph"/>
        <w:numPr>
          <w:ilvl w:val="1"/>
          <w:numId w:val="1"/>
        </w:numPr>
        <w:shd w:val="clear" w:color="auto" w:fill="FFFFFF"/>
        <w:spacing w:lineRule="auto" w:line="240" w:before="16" w:after="0"/>
        <w:ind w:hanging="567" w:left="1134"/>
        <w:contextualSpacing/>
        <w:jc w:val="both"/>
        <w:rPr>
          <w:rFonts w:ascii="Arial" w:hAnsi="Arial" w:eastAsia="Times New Roman" w:cs="Arial"/>
          <w:lang w:eastAsia="lt-LT"/>
        </w:rPr>
      </w:pPr>
      <w:r>
        <w:rPr>
          <w:rFonts w:eastAsia="Times New Roman" w:cs="Arial" w:ascii="Arial" w:hAnsi="Arial"/>
          <w:lang w:eastAsia="lt-LT"/>
        </w:rPr>
        <w:t>Išskyrus Valstybinių miškų apsaugos pareigūnus, visiems kitiems darbuotojams draudimo įmoka turi būti vienoda, neatsižvelgiant į jo darbo sąlygų specifiką, pareigų pavadinimą, amžių ar kitus parametrus.</w:t>
      </w:r>
    </w:p>
    <w:p>
      <w:pPr>
        <w:pStyle w:val="ListParagraph"/>
        <w:numPr>
          <w:ilvl w:val="1"/>
          <w:numId w:val="1"/>
        </w:numPr>
        <w:shd w:val="clear" w:color="auto" w:fill="FFFFFF"/>
        <w:spacing w:lineRule="auto" w:line="240" w:before="16" w:after="0"/>
        <w:ind w:hanging="567" w:left="1134"/>
        <w:contextualSpacing/>
        <w:jc w:val="both"/>
        <w:rPr>
          <w:rFonts w:ascii="Arial" w:hAnsi="Arial" w:eastAsia="Times New Roman" w:cs="Arial"/>
          <w:lang w:eastAsia="lt-LT"/>
        </w:rPr>
      </w:pPr>
      <w:r>
        <w:rPr>
          <w:rFonts w:cs="Arial" w:ascii="Arial" w:hAnsi="Arial"/>
          <w:color w:val="000000"/>
        </w:rPr>
        <w:t xml:space="preserve">Draudimo apsauga galioja visiems Draudėjo darbuotojams. Visi priimti į darbą darbuotojai laikomi automatiškai apdrausti nuo priėmimo į darbą dienos, atleistiems darbuotojams draudimo apsauga negalioja nuo atleidimo iš darbo dienos. </w:t>
      </w:r>
      <w:r>
        <w:rPr>
          <w:rFonts w:eastAsia="Times New Roman" w:cs="Arial" w:ascii="Arial" w:hAnsi="Arial"/>
          <w:lang w:eastAsia="lt-LT"/>
        </w:rPr>
        <w:t>Taip pat automatiškai apdraudžiami visi darbuotojai dirbantys naujose pareigybėse, įsteigtose Sutarties galiojimo laikotarpiu.</w:t>
      </w:r>
    </w:p>
    <w:p>
      <w:pPr>
        <w:pStyle w:val="ListParagraph"/>
        <w:numPr>
          <w:ilvl w:val="1"/>
          <w:numId w:val="1"/>
        </w:numPr>
        <w:shd w:val="clear" w:color="auto" w:fill="FFFFFF"/>
        <w:spacing w:lineRule="auto" w:line="240" w:before="16" w:after="0"/>
        <w:ind w:hanging="567" w:left="1134"/>
        <w:contextualSpacing/>
        <w:jc w:val="both"/>
        <w:rPr>
          <w:rFonts w:ascii="Arial" w:hAnsi="Arial" w:cs="Arial"/>
          <w:color w:val="000000"/>
        </w:rPr>
      </w:pPr>
      <w:r>
        <w:rPr>
          <w:rFonts w:eastAsia="Times New Roman" w:cs="Arial" w:ascii="Arial" w:hAnsi="Arial"/>
          <w:lang w:eastAsia="lt-LT"/>
        </w:rPr>
        <w:t>Darbuotojų draudimui nuo nelaimingų atsitikimų, be bendrųjų reikalavimų, kurie turi atitikti perkamas paslaugas bei Tiekėjų taikomų sąlygų, Tiekėjas papildomai taip pat turi įtraukti žemiau išvardintas sąlygas:</w:t>
      </w:r>
    </w:p>
    <w:p>
      <w:pPr>
        <w:pStyle w:val="ListParagraph"/>
        <w:shd w:val="clear" w:color="auto" w:fill="FFFFFF"/>
        <w:spacing w:lineRule="auto" w:line="240" w:before="16" w:after="0"/>
        <w:ind w:left="1134"/>
        <w:contextualSpacing/>
        <w:jc w:val="both"/>
        <w:rPr>
          <w:rFonts w:ascii="Arial" w:hAnsi="Arial" w:eastAsia="Times New Roman" w:cs="Arial"/>
          <w:lang w:eastAsia="lt-LT"/>
        </w:rPr>
      </w:pPr>
      <w:r>
        <w:rPr>
          <w:rFonts w:eastAsia="Times New Roman" w:cs="Arial" w:ascii="Arial" w:hAnsi="Arial"/>
          <w:lang w:eastAsia="lt-LT"/>
        </w:rPr>
      </w:r>
    </w:p>
    <w:tbl>
      <w:tblPr>
        <w:tblW w:w="9736" w:type="dxa"/>
        <w:jc w:val="left"/>
        <w:tblInd w:w="749" w:type="dxa"/>
        <w:tblLayout w:type="fixed"/>
        <w:tblCellMar>
          <w:top w:w="0" w:type="dxa"/>
          <w:left w:w="108" w:type="dxa"/>
          <w:bottom w:w="0" w:type="dxa"/>
          <w:right w:w="108" w:type="dxa"/>
        </w:tblCellMar>
        <w:tblLook w:firstRow="1" w:noVBand="1" w:lastRow="0" w:firstColumn="1" w:lastColumn="0" w:noHBand="0" w:val="04a0"/>
      </w:tblPr>
      <w:tblGrid>
        <w:gridCol w:w="2215"/>
        <w:gridCol w:w="7520"/>
      </w:tblGrid>
      <w:tr>
        <w:trPr>
          <w:trHeight w:val="169" w:hRule="atLeast"/>
        </w:trPr>
        <w:tc>
          <w:tcPr>
            <w:tcW w:w="2215" w:type="dxa"/>
            <w:tcBorders>
              <w:top w:val="single" w:sz="4" w:space="0" w:color="A6A6A6"/>
              <w:left w:val="single" w:sz="4" w:space="0" w:color="A6A6A6"/>
              <w:bottom w:val="single" w:sz="4" w:space="0" w:color="A6A6A6"/>
              <w:right w:val="single" w:sz="4" w:space="0" w:color="A6A6A6"/>
            </w:tcBorders>
            <w:shd w:color="auto" w:fill="C5E0B3" w:themeFill="accent6" w:themeFillTint="66" w:val="clear"/>
            <w:vAlign w:val="center"/>
          </w:tcPr>
          <w:p>
            <w:pPr>
              <w:pStyle w:val="Normal"/>
              <w:spacing w:lineRule="auto" w:line="240" w:before="0" w:after="0"/>
              <w:rPr>
                <w:rFonts w:ascii="Arial" w:hAnsi="Arial" w:cs="Arial"/>
                <w:b/>
                <w:bCs/>
              </w:rPr>
            </w:pPr>
            <w:r>
              <w:rPr>
                <w:rFonts w:cs="Arial" w:ascii="Arial" w:hAnsi="Arial"/>
                <w:b/>
                <w:bCs/>
              </w:rPr>
              <w:t>Išplėtimo pavadinimas</w:t>
            </w:r>
          </w:p>
        </w:tc>
        <w:tc>
          <w:tcPr>
            <w:tcW w:w="7520" w:type="dxa"/>
            <w:tcBorders>
              <w:top w:val="single" w:sz="4" w:space="0" w:color="A6A6A6"/>
              <w:left w:val="single" w:sz="4" w:space="0" w:color="A6A6A6"/>
              <w:bottom w:val="single" w:sz="4" w:space="0" w:color="A6A6A6"/>
              <w:right w:val="single" w:sz="4" w:space="0" w:color="A6A6A6"/>
            </w:tcBorders>
            <w:shd w:color="auto" w:fill="C5E0B3" w:themeFill="accent6" w:themeFillTint="66" w:val="clear"/>
            <w:vAlign w:val="center"/>
          </w:tcPr>
          <w:p>
            <w:pPr>
              <w:pStyle w:val="Normal"/>
              <w:spacing w:lineRule="auto" w:line="240" w:before="0" w:after="0"/>
              <w:rPr>
                <w:rFonts w:ascii="Arial" w:hAnsi="Arial" w:cs="Arial"/>
                <w:b/>
                <w:color w:val="000000"/>
              </w:rPr>
            </w:pPr>
            <w:r>
              <w:rPr>
                <w:rFonts w:cs="Arial" w:ascii="Arial" w:hAnsi="Arial"/>
                <w:b/>
                <w:color w:val="000000"/>
              </w:rPr>
              <w:t>Papildoma sąlyga</w:t>
            </w:r>
          </w:p>
        </w:tc>
      </w:tr>
      <w:tr>
        <w:trPr>
          <w:trHeight w:val="789" w:hRule="atLeast"/>
        </w:trPr>
        <w:tc>
          <w:tcPr>
            <w:tcW w:w="2215" w:type="dxa"/>
            <w:tcBorders>
              <w:top w:val="single" w:sz="4" w:space="0" w:color="A6A6A6"/>
              <w:left w:val="single" w:sz="4" w:space="0" w:color="A6A6A6"/>
              <w:bottom w:val="single" w:sz="4" w:space="0" w:color="A6A6A6"/>
              <w:right w:val="single" w:sz="4" w:space="0" w:color="A6A6A6"/>
            </w:tcBorders>
            <w:shd w:color="auto" w:fill="E2EFD9" w:themeFill="accent6" w:themeFillTint="33" w:val="clear"/>
            <w:vAlign w:val="center"/>
          </w:tcPr>
          <w:p>
            <w:pPr>
              <w:pStyle w:val="Normal"/>
              <w:spacing w:lineRule="auto" w:line="240" w:before="0" w:after="0"/>
              <w:rPr>
                <w:rFonts w:ascii="Arial" w:hAnsi="Arial" w:cs="Arial"/>
                <w:b/>
                <w:bCs/>
              </w:rPr>
            </w:pPr>
            <w:r>
              <w:rPr>
                <w:rFonts w:cs="Arial" w:ascii="Arial" w:hAnsi="Arial"/>
                <w:b/>
                <w:bCs/>
              </w:rPr>
              <w:t>Traumų rizikos apimtis</w:t>
            </w:r>
          </w:p>
        </w:tc>
        <w:tc>
          <w:tcPr>
            <w:tcW w:w="7520" w:type="dxa"/>
            <w:tcBorders>
              <w:top w:val="single" w:sz="4" w:space="0" w:color="A6A6A6"/>
              <w:left w:val="single" w:sz="4" w:space="0" w:color="A6A6A6"/>
              <w:bottom w:val="single" w:sz="4" w:space="0" w:color="A6A6A6"/>
              <w:right w:val="single" w:sz="4" w:space="0" w:color="A6A6A6"/>
            </w:tcBorders>
            <w:vAlign w:val="center"/>
          </w:tcPr>
          <w:p>
            <w:pPr>
              <w:pStyle w:val="Normal"/>
              <w:spacing w:lineRule="auto" w:line="240" w:before="0" w:after="0"/>
              <w:jc w:val="both"/>
              <w:rPr>
                <w:rFonts w:ascii="Arial" w:hAnsi="Arial" w:cs="Arial"/>
                <w:color w:val="000000"/>
              </w:rPr>
            </w:pPr>
            <w:r>
              <w:rPr>
                <w:rFonts w:cs="Arial" w:ascii="Arial" w:hAnsi="Arial"/>
                <w:color w:val="000000"/>
              </w:rPr>
              <w:t>Traumų rizika taip pat apima kaulų lūžių ir išnirimų, minkštųjų audinių ir vidaus organų sužalojimų, ilgalaikės ir negrįžtamos traumų pasekmės rizikas.</w:t>
            </w:r>
          </w:p>
        </w:tc>
      </w:tr>
      <w:tr>
        <w:trPr>
          <w:trHeight w:val="450" w:hRule="atLeast"/>
        </w:trPr>
        <w:tc>
          <w:tcPr>
            <w:tcW w:w="2215" w:type="dxa"/>
            <w:tcBorders>
              <w:top w:val="single" w:sz="4" w:space="0" w:color="A6A6A6"/>
              <w:left w:val="single" w:sz="4" w:space="0" w:color="A6A6A6"/>
              <w:bottom w:val="single" w:sz="4" w:space="0" w:color="A6A6A6"/>
              <w:right w:val="single" w:sz="4" w:space="0" w:color="A6A6A6"/>
            </w:tcBorders>
            <w:shd w:color="auto" w:fill="E2EFD9" w:themeFill="accent6" w:themeFillTint="33" w:val="clear"/>
            <w:vAlign w:val="center"/>
          </w:tcPr>
          <w:p>
            <w:pPr>
              <w:pStyle w:val="Normal"/>
              <w:spacing w:lineRule="auto" w:line="240" w:before="0" w:after="0"/>
              <w:rPr>
                <w:rFonts w:ascii="Arial" w:hAnsi="Arial" w:cs="Arial"/>
                <w:b/>
                <w:bCs/>
              </w:rPr>
            </w:pPr>
            <w:r>
              <w:rPr>
                <w:rFonts w:cs="Arial" w:ascii="Arial" w:hAnsi="Arial"/>
                <w:b/>
                <w:bCs/>
              </w:rPr>
              <w:t>Kiti draudžiamųjų įvykių padariniai</w:t>
            </w:r>
          </w:p>
        </w:tc>
        <w:tc>
          <w:tcPr>
            <w:tcW w:w="7520" w:type="dxa"/>
            <w:tcBorders>
              <w:top w:val="single" w:sz="4" w:space="0" w:color="A6A6A6"/>
              <w:left w:val="single" w:sz="4" w:space="0" w:color="A6A6A6"/>
              <w:bottom w:val="single" w:sz="4" w:space="0" w:color="A6A6A6"/>
              <w:right w:val="single" w:sz="4" w:space="0" w:color="A6A6A6"/>
            </w:tcBorders>
            <w:vAlign w:val="center"/>
          </w:tcPr>
          <w:p>
            <w:pPr>
              <w:pStyle w:val="Normal"/>
              <w:spacing w:lineRule="auto" w:line="240" w:before="0" w:after="0"/>
              <w:jc w:val="both"/>
              <w:rPr>
                <w:rFonts w:ascii="Arial" w:hAnsi="Arial" w:cs="Arial"/>
                <w:color w:val="000000"/>
              </w:rPr>
            </w:pPr>
            <w:r>
              <w:rPr>
                <w:rFonts w:cs="Arial" w:ascii="Arial" w:hAnsi="Arial"/>
                <w:color w:val="000000"/>
              </w:rPr>
              <w:t>Visais atvejais (nepriklausomai nuo gydymo trukmės ir gydymo būdo), draudimo apsauga taip pat galioja dėl susižalojimo elektros srove; ūminio apsinuodijimo cheminėmis medžiagomis, maistu, nuodingais grybais; terminių ir cheminių nudegimų ar nušalimų; gyvatės įkirtimų, žinduolių įkandimų, vabzdžių įgėlimų (įskaitant erkinis encefalitas, Laimo liga); stabligės, pasiutligės, botulizmo.</w:t>
            </w:r>
          </w:p>
          <w:p>
            <w:pPr>
              <w:pStyle w:val="Normal"/>
              <w:spacing w:lineRule="auto" w:line="240" w:before="0" w:after="0"/>
              <w:jc w:val="both"/>
              <w:rPr>
                <w:rFonts w:ascii="Arial" w:hAnsi="Arial" w:cs="Arial"/>
                <w:color w:val="000000"/>
              </w:rPr>
            </w:pPr>
            <w:r>
              <w:rPr>
                <w:rFonts w:cs="Arial" w:ascii="Arial" w:hAnsi="Arial"/>
                <w:color w:val="000000"/>
              </w:rPr>
              <w:t>Draudimo išmoka, pagal šiame punkte numatytus įvykius, yra mokama vadovaujantis Draudiko Taisyklėmis, tačiau minimali draudimo išmoka dėl kiekvieno atvejo yra 100 Eur.</w:t>
            </w:r>
          </w:p>
          <w:p>
            <w:pPr>
              <w:pStyle w:val="Normal"/>
              <w:spacing w:lineRule="auto" w:line="240" w:before="0" w:after="0"/>
              <w:jc w:val="both"/>
              <w:rPr>
                <w:rFonts w:ascii="Arial" w:hAnsi="Arial" w:cs="Arial"/>
                <w:color w:val="000000"/>
              </w:rPr>
            </w:pPr>
            <w:r>
              <w:rPr>
                <w:rFonts w:cs="Arial" w:ascii="Arial" w:hAnsi="Arial"/>
                <w:color w:val="000000"/>
              </w:rPr>
            </w:r>
          </w:p>
        </w:tc>
      </w:tr>
      <w:tr>
        <w:trPr>
          <w:trHeight w:val="450" w:hRule="atLeast"/>
        </w:trPr>
        <w:tc>
          <w:tcPr>
            <w:tcW w:w="2215" w:type="dxa"/>
            <w:tcBorders>
              <w:top w:val="single" w:sz="4" w:space="0" w:color="A6A6A6"/>
              <w:left w:val="single" w:sz="4" w:space="0" w:color="A6A6A6"/>
              <w:bottom w:val="single" w:sz="4" w:space="0" w:color="A6A6A6"/>
              <w:right w:val="single" w:sz="4" w:space="0" w:color="A6A6A6"/>
            </w:tcBorders>
            <w:shd w:color="auto" w:fill="E2EFD9" w:themeFill="accent6" w:themeFillTint="33" w:val="clear"/>
            <w:vAlign w:val="center"/>
          </w:tcPr>
          <w:p>
            <w:pPr>
              <w:pStyle w:val="Normal"/>
              <w:spacing w:lineRule="auto" w:line="240" w:before="0" w:after="0"/>
              <w:rPr>
                <w:rFonts w:ascii="Arial" w:hAnsi="Arial" w:cs="Arial"/>
                <w:b/>
                <w:bCs/>
              </w:rPr>
            </w:pPr>
            <w:r>
              <w:rPr>
                <w:rFonts w:cs="Arial" w:ascii="Arial" w:hAnsi="Arial"/>
                <w:b/>
                <w:bCs/>
              </w:rPr>
              <w:t>Darbuotojų skaičiaus pasikeitimas</w:t>
            </w:r>
          </w:p>
        </w:tc>
        <w:tc>
          <w:tcPr>
            <w:tcW w:w="7520" w:type="dxa"/>
            <w:tcBorders>
              <w:top w:val="single" w:sz="4" w:space="0" w:color="A6A6A6"/>
              <w:left w:val="single" w:sz="4" w:space="0" w:color="A6A6A6"/>
              <w:bottom w:val="single" w:sz="4" w:space="0" w:color="A6A6A6"/>
              <w:right w:val="single" w:sz="4" w:space="0" w:color="A6A6A6"/>
            </w:tcBorders>
            <w:vAlign w:val="center"/>
          </w:tcPr>
          <w:p>
            <w:pPr>
              <w:pStyle w:val="Normal"/>
              <w:spacing w:lineRule="auto" w:line="240" w:before="0" w:after="0"/>
              <w:jc w:val="both"/>
              <w:rPr>
                <w:rFonts w:ascii="Arial" w:hAnsi="Arial" w:cs="Arial"/>
                <w:color w:val="000000"/>
              </w:rPr>
            </w:pPr>
            <w:r>
              <w:rPr>
                <w:rFonts w:cs="Arial" w:ascii="Arial" w:hAnsi="Arial"/>
                <w:color w:val="000000"/>
              </w:rPr>
              <w:t>Visais atvejais draudimo rizikos padidėjimu nelaikomas darbuotojų skaičiaus pasikeitimas, kai draudimo apsaugos laikotarpiu Draudėjo darbuotojų skaičius padidėja ne daugiau kaip 15 procentų</w:t>
            </w:r>
            <w:r>
              <w:rPr>
                <w:rFonts w:cs="Arial" w:ascii="Arial" w:hAnsi="Arial"/>
              </w:rPr>
              <w:t>, o sumažėja ne daugiau kaip 30 procentų</w:t>
            </w:r>
            <w:r>
              <w:rPr>
                <w:rFonts w:cs="Arial" w:ascii="Arial" w:hAnsi="Arial"/>
                <w:color w:val="000000"/>
              </w:rPr>
              <w:t>.</w:t>
            </w:r>
          </w:p>
        </w:tc>
      </w:tr>
      <w:tr>
        <w:trPr>
          <w:trHeight w:val="450" w:hRule="atLeast"/>
        </w:trPr>
        <w:tc>
          <w:tcPr>
            <w:tcW w:w="2215" w:type="dxa"/>
            <w:tcBorders>
              <w:top w:val="single" w:sz="4" w:space="0" w:color="A6A6A6"/>
              <w:left w:val="single" w:sz="4" w:space="0" w:color="A6A6A6"/>
              <w:bottom w:val="single" w:sz="4" w:space="0" w:color="A6A6A6"/>
              <w:right w:val="single" w:sz="4" w:space="0" w:color="A6A6A6"/>
            </w:tcBorders>
            <w:shd w:color="auto" w:fill="E2EFD9" w:themeFill="accent6" w:themeFillTint="33" w:val="clear"/>
            <w:vAlign w:val="center"/>
          </w:tcPr>
          <w:p>
            <w:pPr>
              <w:pStyle w:val="Normal"/>
              <w:spacing w:lineRule="auto" w:line="240" w:before="0" w:after="0"/>
              <w:rPr>
                <w:rFonts w:ascii="Arial" w:hAnsi="Arial" w:cs="Arial"/>
                <w:b/>
                <w:bCs/>
              </w:rPr>
            </w:pPr>
            <w:r>
              <w:rPr>
                <w:rFonts w:cs="Arial" w:ascii="Arial" w:hAnsi="Arial"/>
                <w:b/>
                <w:bCs/>
              </w:rPr>
              <w:t>Komandiruotės metu</w:t>
            </w:r>
          </w:p>
        </w:tc>
        <w:tc>
          <w:tcPr>
            <w:tcW w:w="7520" w:type="dxa"/>
            <w:tcBorders>
              <w:top w:val="single" w:sz="4" w:space="0" w:color="A6A6A6"/>
              <w:left w:val="single" w:sz="4" w:space="0" w:color="A6A6A6"/>
              <w:bottom w:val="single" w:sz="4" w:space="0" w:color="A6A6A6"/>
              <w:right w:val="single" w:sz="4" w:space="0" w:color="A6A6A6"/>
            </w:tcBorders>
            <w:vAlign w:val="center"/>
          </w:tcPr>
          <w:p>
            <w:pPr>
              <w:pStyle w:val="Normal"/>
              <w:spacing w:lineRule="auto" w:line="240" w:before="0" w:after="0"/>
              <w:jc w:val="both"/>
              <w:rPr>
                <w:rFonts w:ascii="Arial" w:hAnsi="Arial" w:cs="Arial"/>
                <w:color w:val="000000"/>
              </w:rPr>
            </w:pPr>
            <w:r>
              <w:rPr>
                <w:rFonts w:cs="Arial" w:ascii="Arial" w:hAnsi="Arial"/>
                <w:color w:val="000000"/>
              </w:rPr>
              <w:t>Draudimo apsauga taip pat galioja darbuotojo komandiruotės metu. Komandiruote laikomas apdraustojo išvykimas tam tikram laikui iš nuolatinės darbo vietos darbdavio siuntimu atlikti darbo funkcijas, vykdyti tarnybinį pavedimą ar kelti kvalifikaciją.</w:t>
            </w:r>
          </w:p>
        </w:tc>
      </w:tr>
      <w:tr>
        <w:trPr>
          <w:trHeight w:val="450" w:hRule="atLeast"/>
        </w:trPr>
        <w:tc>
          <w:tcPr>
            <w:tcW w:w="2215" w:type="dxa"/>
            <w:tcBorders>
              <w:top w:val="single" w:sz="4" w:space="0" w:color="A6A6A6"/>
              <w:left w:val="single" w:sz="4" w:space="0" w:color="A6A6A6"/>
              <w:bottom w:val="single" w:sz="4" w:space="0" w:color="A6A6A6"/>
              <w:right w:val="single" w:sz="4" w:space="0" w:color="A6A6A6"/>
            </w:tcBorders>
            <w:shd w:color="auto" w:fill="E2EFD9" w:themeFill="accent6" w:themeFillTint="33" w:val="clear"/>
            <w:vAlign w:val="center"/>
          </w:tcPr>
          <w:p>
            <w:pPr>
              <w:pStyle w:val="Normal"/>
              <w:spacing w:lineRule="auto" w:line="240" w:before="0" w:after="0"/>
              <w:rPr>
                <w:rFonts w:ascii="Arial" w:hAnsi="Arial" w:cs="Arial"/>
                <w:b/>
                <w:bCs/>
              </w:rPr>
            </w:pPr>
            <w:r>
              <w:rPr>
                <w:rFonts w:cs="Arial" w:ascii="Arial" w:hAnsi="Arial"/>
                <w:b/>
                <w:bCs/>
              </w:rPr>
              <w:t>Kelių eismo įvykio išimtis</w:t>
            </w:r>
          </w:p>
        </w:tc>
        <w:tc>
          <w:tcPr>
            <w:tcW w:w="7520" w:type="dxa"/>
            <w:tcBorders>
              <w:top w:val="single" w:sz="4" w:space="0" w:color="A6A6A6"/>
              <w:left w:val="single" w:sz="4" w:space="0" w:color="A6A6A6"/>
              <w:bottom w:val="single" w:sz="4" w:space="0" w:color="A6A6A6"/>
              <w:right w:val="single" w:sz="4" w:space="0" w:color="A6A6A6"/>
            </w:tcBorders>
            <w:vAlign w:val="center"/>
          </w:tcPr>
          <w:p>
            <w:pPr>
              <w:pStyle w:val="Normal"/>
              <w:spacing w:lineRule="auto" w:line="240" w:before="0" w:after="0"/>
              <w:jc w:val="both"/>
              <w:rPr>
                <w:rFonts w:ascii="Arial" w:hAnsi="Arial" w:cs="Arial"/>
                <w:color w:val="000000"/>
              </w:rPr>
            </w:pPr>
            <w:r>
              <w:rPr>
                <w:rFonts w:cs="Arial" w:ascii="Arial" w:hAnsi="Arial"/>
                <w:color w:val="000000"/>
              </w:rPr>
              <w:t>Kelių eismo taisyklių pažeidimai nelaikomi nedraudžiamuoju įvykiu, išskyrus vairavimą apsvaigus (kai yra viršijamos LR teisės aktuose nustatytos normos) arba neturint atitinkamo vairuotojo pažymėjimo suteikiančio teisę valdyti tą transporto priemonę.</w:t>
            </w:r>
          </w:p>
        </w:tc>
      </w:tr>
      <w:tr>
        <w:trPr>
          <w:trHeight w:val="420" w:hRule="atLeast"/>
        </w:trPr>
        <w:tc>
          <w:tcPr>
            <w:tcW w:w="2215" w:type="dxa"/>
            <w:tcBorders>
              <w:top w:val="single" w:sz="4" w:space="0" w:color="A6A6A6"/>
              <w:left w:val="single" w:sz="4" w:space="0" w:color="A6A6A6"/>
              <w:bottom w:val="single" w:sz="4" w:space="0" w:color="A6A6A6"/>
              <w:right w:val="single" w:sz="4" w:space="0" w:color="A6A6A6"/>
            </w:tcBorders>
            <w:shd w:color="auto" w:fill="E2EFD9" w:themeFill="accent6" w:themeFillTint="33" w:val="clear"/>
            <w:vAlign w:val="center"/>
          </w:tcPr>
          <w:p>
            <w:pPr>
              <w:pStyle w:val="Normal"/>
              <w:spacing w:lineRule="auto" w:line="240" w:before="0" w:after="0"/>
              <w:rPr>
                <w:rFonts w:ascii="Arial" w:hAnsi="Arial" w:cs="Arial"/>
                <w:b/>
                <w:bCs/>
              </w:rPr>
            </w:pPr>
            <w:r>
              <w:rPr>
                <w:rFonts w:cs="Arial" w:ascii="Arial" w:hAnsi="Arial"/>
                <w:b/>
                <w:bCs/>
              </w:rPr>
              <w:t>Neblaivumo sąlyga</w:t>
            </w:r>
          </w:p>
        </w:tc>
        <w:tc>
          <w:tcPr>
            <w:tcW w:w="7520" w:type="dxa"/>
            <w:tcBorders>
              <w:top w:val="single" w:sz="4" w:space="0" w:color="A6A6A6"/>
              <w:left w:val="single" w:sz="4" w:space="0" w:color="A6A6A6"/>
              <w:bottom w:val="single" w:sz="4" w:space="0" w:color="A6A6A6"/>
              <w:right w:val="single" w:sz="4" w:space="0" w:color="A6A6A6"/>
            </w:tcBorders>
            <w:vAlign w:val="center"/>
          </w:tcPr>
          <w:p>
            <w:pPr>
              <w:pStyle w:val="Normal"/>
              <w:spacing w:lineRule="auto" w:line="240" w:before="0" w:after="0"/>
              <w:jc w:val="both"/>
              <w:rPr>
                <w:rFonts w:ascii="Arial" w:hAnsi="Arial" w:cs="Arial"/>
                <w:color w:val="000000"/>
              </w:rPr>
            </w:pPr>
            <w:r>
              <w:rPr>
                <w:rFonts w:cs="Arial" w:ascii="Arial" w:hAnsi="Arial"/>
                <w:color w:val="000000"/>
              </w:rPr>
              <w:t>Draudimo apsauga galioja ir apdraustasis nelaikomas apsvaigęs nuo alkoholio, kai jo koncentracija neviršija 0,6 promilių, išskyrus transporto priemonių valdymą.</w:t>
            </w:r>
          </w:p>
        </w:tc>
      </w:tr>
      <w:tr>
        <w:trPr>
          <w:trHeight w:val="435" w:hRule="atLeast"/>
        </w:trPr>
        <w:tc>
          <w:tcPr>
            <w:tcW w:w="2215" w:type="dxa"/>
            <w:tcBorders>
              <w:top w:val="single" w:sz="4" w:space="0" w:color="A6A6A6"/>
              <w:left w:val="single" w:sz="4" w:space="0" w:color="A6A6A6"/>
              <w:bottom w:val="single" w:sz="4" w:space="0" w:color="A6A6A6"/>
              <w:right w:val="single" w:sz="4" w:space="0" w:color="A6A6A6"/>
            </w:tcBorders>
            <w:shd w:color="auto" w:fill="E2EFD9" w:themeFill="accent6" w:themeFillTint="33" w:val="clear"/>
            <w:vAlign w:val="center"/>
          </w:tcPr>
          <w:p>
            <w:pPr>
              <w:pStyle w:val="Normal"/>
              <w:spacing w:lineRule="auto" w:line="240" w:before="0" w:after="0"/>
              <w:rPr>
                <w:rFonts w:ascii="Arial" w:hAnsi="Arial" w:cs="Arial"/>
                <w:b/>
                <w:bCs/>
              </w:rPr>
            </w:pPr>
            <w:r>
              <w:rPr>
                <w:rFonts w:cs="Arial" w:ascii="Arial" w:hAnsi="Arial"/>
                <w:b/>
                <w:bCs/>
              </w:rPr>
              <w:t>Didelio neatsargumo sąlyga</w:t>
            </w:r>
          </w:p>
        </w:tc>
        <w:tc>
          <w:tcPr>
            <w:tcW w:w="7520" w:type="dxa"/>
            <w:tcBorders>
              <w:top w:val="single" w:sz="4" w:space="0" w:color="A6A6A6"/>
              <w:left w:val="single" w:sz="4" w:space="0" w:color="A6A6A6"/>
              <w:bottom w:val="single" w:sz="4" w:space="0" w:color="A6A6A6"/>
              <w:right w:val="single" w:sz="4" w:space="0" w:color="A6A6A6"/>
            </w:tcBorders>
            <w:vAlign w:val="center"/>
          </w:tcPr>
          <w:p>
            <w:pPr>
              <w:pStyle w:val="Normal"/>
              <w:spacing w:lineRule="auto" w:line="240" w:before="0" w:after="0"/>
              <w:jc w:val="both"/>
              <w:rPr>
                <w:rFonts w:ascii="Arial" w:hAnsi="Arial" w:cs="Arial"/>
                <w:color w:val="000000"/>
              </w:rPr>
            </w:pPr>
            <w:r>
              <w:rPr>
                <w:rFonts w:cs="Arial" w:ascii="Arial" w:hAnsi="Arial"/>
                <w:color w:val="000000"/>
              </w:rPr>
              <w:t>Didelis neatsargumas nėra laikomas nedraudžiamuoju įvykiu.</w:t>
            </w:r>
          </w:p>
        </w:tc>
      </w:tr>
      <w:tr>
        <w:trPr>
          <w:trHeight w:val="525" w:hRule="atLeast"/>
        </w:trPr>
        <w:tc>
          <w:tcPr>
            <w:tcW w:w="2215" w:type="dxa"/>
            <w:tcBorders>
              <w:top w:val="single" w:sz="4" w:space="0" w:color="A6A6A6"/>
              <w:left w:val="single" w:sz="4" w:space="0" w:color="A6A6A6"/>
              <w:bottom w:val="single" w:sz="4" w:space="0" w:color="A6A6A6"/>
              <w:right w:val="single" w:sz="4" w:space="0" w:color="A6A6A6"/>
            </w:tcBorders>
            <w:shd w:color="auto" w:fill="E2EFD9" w:themeFill="accent6" w:themeFillTint="33" w:val="clear"/>
            <w:vAlign w:val="center"/>
          </w:tcPr>
          <w:p>
            <w:pPr>
              <w:pStyle w:val="Normal"/>
              <w:spacing w:lineRule="auto" w:line="240" w:before="0" w:after="0"/>
              <w:rPr>
                <w:rFonts w:ascii="Arial" w:hAnsi="Arial" w:cs="Arial"/>
                <w:b/>
                <w:bCs/>
              </w:rPr>
            </w:pPr>
            <w:r>
              <w:rPr>
                <w:rFonts w:cs="Arial" w:ascii="Arial" w:hAnsi="Arial"/>
                <w:b/>
                <w:bCs/>
              </w:rPr>
              <w:t>Darbo saugos pažeidimų sąlyga</w:t>
            </w:r>
          </w:p>
        </w:tc>
        <w:tc>
          <w:tcPr>
            <w:tcW w:w="7520" w:type="dxa"/>
            <w:tcBorders>
              <w:top w:val="single" w:sz="4" w:space="0" w:color="A6A6A6"/>
              <w:left w:val="single" w:sz="4" w:space="0" w:color="A6A6A6"/>
              <w:bottom w:val="single" w:sz="4" w:space="0" w:color="A6A6A6"/>
              <w:right w:val="single" w:sz="4" w:space="0" w:color="A6A6A6"/>
            </w:tcBorders>
            <w:vAlign w:val="center"/>
          </w:tcPr>
          <w:p>
            <w:pPr>
              <w:pStyle w:val="Normal"/>
              <w:spacing w:lineRule="auto" w:line="240" w:before="0" w:after="0"/>
              <w:jc w:val="both"/>
              <w:rPr>
                <w:rFonts w:ascii="Arial" w:hAnsi="Arial" w:cs="Arial"/>
                <w:color w:val="000000"/>
              </w:rPr>
            </w:pPr>
            <w:r>
              <w:rPr>
                <w:rFonts w:cs="Arial" w:ascii="Arial" w:hAnsi="Arial"/>
                <w:color w:val="000000"/>
              </w:rPr>
              <w:t>Darbų saugos reikalavimų nesilaikymas nėra laikomas nedraudžiamuoju įvykiu.</w:t>
            </w:r>
          </w:p>
        </w:tc>
      </w:tr>
    </w:tbl>
    <w:p>
      <w:pPr>
        <w:pStyle w:val="Normal"/>
        <w:shd w:val="clear" w:color="auto" w:fill="FFFFFF"/>
        <w:spacing w:lineRule="auto" w:line="240" w:before="16" w:after="0"/>
        <w:jc w:val="both"/>
        <w:rPr>
          <w:rFonts w:ascii="Arial" w:hAnsi="Arial" w:eastAsia="Times New Roman" w:cs="Arial"/>
          <w:lang w:eastAsia="lt-LT"/>
        </w:rPr>
      </w:pPr>
      <w:r>
        <w:rPr>
          <w:rFonts w:eastAsia="Times New Roman" w:cs="Arial" w:ascii="Arial" w:hAnsi="Arial"/>
          <w:lang w:eastAsia="lt-LT"/>
        </w:rPr>
      </w:r>
    </w:p>
    <w:p>
      <w:pPr>
        <w:pStyle w:val="Normal"/>
        <w:shd w:val="clear" w:color="auto" w:fill="FFFFFF"/>
        <w:spacing w:lineRule="auto" w:line="240" w:before="16" w:after="0"/>
        <w:jc w:val="both"/>
        <w:rPr>
          <w:rFonts w:ascii="Arial" w:hAnsi="Arial" w:eastAsia="Times New Roman" w:cs="Arial"/>
          <w:lang w:eastAsia="lt-LT"/>
        </w:rPr>
      </w:pPr>
      <w:r>
        <w:rPr>
          <w:rFonts w:eastAsia="Times New Roman" w:cs="Arial" w:ascii="Arial" w:hAnsi="Arial"/>
          <w:lang w:eastAsia="lt-LT"/>
        </w:rPr>
      </w:r>
    </w:p>
    <w:p>
      <w:pPr>
        <w:pStyle w:val="ListParagraph"/>
        <w:numPr>
          <w:ilvl w:val="1"/>
          <w:numId w:val="1"/>
        </w:numPr>
        <w:spacing w:lineRule="auto" w:line="240" w:before="0" w:after="0"/>
        <w:ind w:firstLine="567" w:left="0"/>
        <w:contextualSpacing/>
        <w:jc w:val="both"/>
        <w:rPr>
          <w:rFonts w:ascii="Arial" w:hAnsi="Arial" w:cs="Arial"/>
        </w:rPr>
      </w:pPr>
      <w:r>
        <w:rPr>
          <w:rFonts w:cs="Arial" w:ascii="Arial" w:hAnsi="Arial"/>
        </w:rPr>
        <w:t>VMU draudiminiai įvykiai (202</w:t>
      </w:r>
      <w:r>
        <w:rPr>
          <w:rFonts w:cs="Arial" w:ascii="Arial" w:hAnsi="Arial"/>
          <w:lang w:val="en-US"/>
        </w:rPr>
        <w:t>5 –</w:t>
      </w:r>
      <w:r>
        <w:rPr>
          <w:rFonts w:cs="Arial" w:ascii="Arial" w:hAnsi="Arial"/>
        </w:rPr>
        <w:t>07-</w:t>
      </w:r>
      <w:r>
        <w:rPr>
          <w:rFonts w:cs="Arial" w:ascii="Arial" w:hAnsi="Arial"/>
          <w:lang w:val="en-US"/>
        </w:rPr>
        <w:t>17</w:t>
      </w:r>
      <w:r>
        <w:rPr>
          <w:rFonts w:cs="Arial" w:ascii="Arial" w:hAnsi="Arial"/>
        </w:rPr>
        <w:t>):</w:t>
      </w:r>
    </w:p>
    <w:p>
      <w:pPr>
        <w:pStyle w:val="ListParagraph"/>
        <w:numPr>
          <w:ilvl w:val="2"/>
          <w:numId w:val="1"/>
        </w:numPr>
        <w:spacing w:lineRule="auto" w:line="240" w:before="0" w:after="0"/>
        <w:ind w:firstLine="567" w:left="0"/>
        <w:contextualSpacing/>
        <w:jc w:val="both"/>
        <w:rPr>
          <w:rFonts w:ascii="Arial" w:hAnsi="Arial" w:cs="Arial"/>
        </w:rPr>
      </w:pPr>
      <w:r>
        <w:rPr>
          <w:rFonts w:cs="Arial" w:ascii="Arial" w:hAnsi="Arial"/>
        </w:rPr>
        <w:t>2020 m. – įvykių skaičius 128, išmokų 48 100,13 Eur;</w:t>
      </w:r>
    </w:p>
    <w:p>
      <w:pPr>
        <w:pStyle w:val="ListParagraph"/>
        <w:numPr>
          <w:ilvl w:val="2"/>
          <w:numId w:val="1"/>
        </w:numPr>
        <w:spacing w:lineRule="auto" w:line="240" w:before="0" w:after="0"/>
        <w:ind w:firstLine="567" w:left="0"/>
        <w:contextualSpacing/>
        <w:jc w:val="both"/>
        <w:rPr>
          <w:rFonts w:ascii="Arial" w:hAnsi="Arial" w:cs="Arial"/>
        </w:rPr>
      </w:pPr>
      <w:r>
        <w:rPr>
          <w:rFonts w:cs="Arial" w:ascii="Arial" w:hAnsi="Arial"/>
        </w:rPr>
        <w:t xml:space="preserve">2021 m. – įvykių skaičius 69, išmokų </w:t>
      </w:r>
      <w:r>
        <w:rPr>
          <w:rFonts w:cs="Arial" w:ascii="Arial" w:hAnsi="Arial"/>
          <w:color w:val="000000"/>
        </w:rPr>
        <w:t>41 280,00</w:t>
      </w:r>
      <w:r>
        <w:rPr>
          <w:rFonts w:cs="Arial" w:ascii="Arial" w:hAnsi="Arial"/>
        </w:rPr>
        <w:t xml:space="preserve">  Eur;</w:t>
      </w:r>
    </w:p>
    <w:p>
      <w:pPr>
        <w:pStyle w:val="ListParagraph"/>
        <w:numPr>
          <w:ilvl w:val="2"/>
          <w:numId w:val="1"/>
        </w:numPr>
        <w:spacing w:lineRule="auto" w:line="240" w:before="0" w:after="0"/>
        <w:ind w:firstLine="567" w:left="0"/>
        <w:contextualSpacing/>
        <w:jc w:val="both"/>
        <w:rPr>
          <w:rFonts w:ascii="Arial" w:hAnsi="Arial" w:cs="Arial"/>
        </w:rPr>
      </w:pPr>
      <w:r>
        <w:rPr>
          <w:rFonts w:cs="Arial" w:ascii="Arial" w:hAnsi="Arial"/>
        </w:rPr>
        <w:t>2022 m.</w:t>
      </w:r>
      <w:r>
        <w:rPr>
          <w:rFonts w:cs="Arial" w:ascii="Arial" w:hAnsi="Arial"/>
          <w:color w:val="000000"/>
        </w:rPr>
        <w:t xml:space="preserve"> </w:t>
      </w:r>
      <w:r>
        <w:rPr>
          <w:rFonts w:cs="Arial" w:ascii="Arial" w:hAnsi="Arial"/>
        </w:rPr>
        <w:t>–</w:t>
      </w:r>
      <w:r>
        <w:rPr>
          <w:rFonts w:cs="Arial" w:ascii="Arial" w:hAnsi="Arial"/>
          <w:color w:val="000000"/>
        </w:rPr>
        <w:t xml:space="preserve"> įvykių skaičius 145, išmokų 66 600,00 Eur;</w:t>
      </w:r>
    </w:p>
    <w:p>
      <w:pPr>
        <w:pStyle w:val="ListParagraph"/>
        <w:numPr>
          <w:ilvl w:val="2"/>
          <w:numId w:val="1"/>
        </w:numPr>
        <w:spacing w:lineRule="auto" w:line="240" w:before="0" w:after="0"/>
        <w:ind w:firstLine="567" w:left="0"/>
        <w:contextualSpacing/>
        <w:jc w:val="both"/>
        <w:rPr>
          <w:rFonts w:ascii="Arial" w:hAnsi="Arial" w:cs="Arial"/>
          <w:color w:val="000000"/>
        </w:rPr>
      </w:pPr>
      <w:r>
        <w:rPr>
          <w:rFonts w:cs="Arial" w:ascii="Arial" w:hAnsi="Arial"/>
          <w:color w:val="000000"/>
        </w:rPr>
        <w:t xml:space="preserve">2023 m. - įvykių skaičius 142, Išmokų 112 540,00 Eur; </w:t>
      </w:r>
    </w:p>
    <w:p>
      <w:pPr>
        <w:pStyle w:val="ListParagraph"/>
        <w:numPr>
          <w:ilvl w:val="2"/>
          <w:numId w:val="1"/>
        </w:numPr>
        <w:spacing w:lineRule="auto" w:line="240" w:before="0" w:after="0"/>
        <w:ind w:firstLine="567" w:left="0"/>
        <w:contextualSpacing/>
        <w:jc w:val="both"/>
        <w:rPr>
          <w:rFonts w:ascii="Arial" w:hAnsi="Arial" w:cs="Arial"/>
        </w:rPr>
      </w:pPr>
      <w:r>
        <w:rPr>
          <w:rFonts w:cs="Arial" w:ascii="Arial" w:hAnsi="Arial"/>
          <w:color w:val="000000"/>
        </w:rPr>
        <w:t>2024 m. - įvykių skaičius 154, Išmoka 43 750,00   Eur;</w:t>
      </w:r>
    </w:p>
    <w:p>
      <w:pPr>
        <w:pStyle w:val="ListParagraph"/>
        <w:numPr>
          <w:ilvl w:val="2"/>
          <w:numId w:val="1"/>
        </w:numPr>
        <w:spacing w:lineRule="auto" w:line="240" w:before="0" w:after="0"/>
        <w:ind w:firstLine="567" w:left="0"/>
        <w:contextualSpacing/>
        <w:jc w:val="both"/>
        <w:rPr>
          <w:rFonts w:ascii="Arial" w:hAnsi="Arial" w:cs="Arial"/>
        </w:rPr>
      </w:pPr>
      <w:r>
        <w:rPr>
          <w:rFonts w:cs="Arial" w:ascii="Arial" w:hAnsi="Arial"/>
          <w:color w:val="000000"/>
        </w:rPr>
        <w:t>2025 m (iki 2025-07-17) – įvykių skaičius 65, rezervuota suma 80 000,00 Eur.</w:t>
      </w:r>
    </w:p>
    <w:p>
      <w:pPr>
        <w:pStyle w:val="ListParagraph"/>
        <w:numPr>
          <w:ilvl w:val="1"/>
          <w:numId w:val="1"/>
        </w:numPr>
        <w:spacing w:lineRule="auto" w:line="240" w:before="0" w:after="0"/>
        <w:ind w:firstLine="567" w:left="0"/>
        <w:contextualSpacing/>
        <w:jc w:val="both"/>
        <w:rPr>
          <w:rFonts w:ascii="Arial" w:hAnsi="Arial" w:cs="Arial"/>
        </w:rPr>
      </w:pPr>
      <w:r>
        <w:rPr>
          <w:rFonts w:cs="Arial" w:ascii="Arial" w:hAnsi="Arial"/>
          <w:color w:val="000000"/>
        </w:rPr>
        <w:t>Vykdomas žaliasis pirkimas vadovaujantis Aplinkos apsaugos kriterijų taikymo, vykdant žaliuosius pirkimus, tvarkos aprašo, patvirtinto Lietuvos Respublikos aplinkos ministro 2011 m. birželio 28 d. įsakymu Nr. D1-508, 4.4.3 papunkčiu t. y., perkamos nematerialaus pobūdžio (intelektinės) paslaugos, kurios yra nesusijusios su materialaus objekto sukūrimu, jų teikimo metu nėra numatomas reikšmingas neigiamas poveikis aplinkai, nesukuriamas taršos šaltinis ir negeneruojamos atliekos.</w:t>
      </w:r>
    </w:p>
    <w:p>
      <w:pPr>
        <w:pStyle w:val="ListParagraph"/>
        <w:spacing w:lineRule="auto" w:line="240" w:before="0" w:after="0"/>
        <w:ind w:firstLine="567" w:left="0"/>
        <w:contextualSpacing/>
        <w:jc w:val="both"/>
        <w:rPr>
          <w:rFonts w:ascii="Arial" w:hAnsi="Arial" w:cs="Arial"/>
          <w:b/>
        </w:rPr>
      </w:pPr>
      <w:r>
        <w:rPr>
          <w:rFonts w:cs="Arial" w:ascii="Arial" w:hAnsi="Arial"/>
          <w:b/>
        </w:rPr>
      </w:r>
    </w:p>
    <w:p>
      <w:pPr>
        <w:pStyle w:val="ListParagraph"/>
        <w:numPr>
          <w:ilvl w:val="0"/>
          <w:numId w:val="1"/>
        </w:numPr>
        <w:spacing w:lineRule="auto" w:line="240" w:before="0" w:after="0"/>
        <w:ind w:hanging="654" w:left="1080"/>
        <w:contextualSpacing/>
        <w:jc w:val="both"/>
        <w:rPr>
          <w:rFonts w:ascii="Arial" w:hAnsi="Arial" w:cs="Arial"/>
          <w:b/>
        </w:rPr>
      </w:pPr>
      <w:r>
        <w:rPr>
          <w:rFonts w:cs="Arial" w:ascii="Arial" w:hAnsi="Arial"/>
          <w:b/>
        </w:rPr>
        <w:t>SUTARTINIŲ ĮSIPAREIGOJIMŲ VYKDYMO TVARKA IR TERMINAI</w:t>
      </w:r>
    </w:p>
    <w:p>
      <w:pPr>
        <w:pStyle w:val="ListParagraph"/>
        <w:numPr>
          <w:ilvl w:val="1"/>
          <w:numId w:val="1"/>
        </w:numPr>
        <w:spacing w:lineRule="auto" w:line="240" w:before="0" w:after="0"/>
        <w:ind w:hanging="567" w:left="1134"/>
        <w:contextualSpacing/>
        <w:jc w:val="both"/>
        <w:rPr>
          <w:rFonts w:ascii="Arial" w:hAnsi="Arial" w:cs="Arial"/>
          <w:bCs/>
        </w:rPr>
      </w:pPr>
      <w:r>
        <w:rPr>
          <w:rFonts w:cs="Arial" w:ascii="Arial" w:hAnsi="Arial"/>
          <w:bCs/>
        </w:rPr>
        <w:t>Darbuotojų draudimo apsaugos įsigaliojimo pradžia ne vėliau kaip 2026.01.10.</w:t>
      </w:r>
    </w:p>
    <w:p>
      <w:pPr>
        <w:pStyle w:val="ListParagraph"/>
        <w:numPr>
          <w:ilvl w:val="1"/>
          <w:numId w:val="1"/>
        </w:numPr>
        <w:spacing w:lineRule="auto" w:line="240" w:before="0" w:after="0"/>
        <w:ind w:hanging="567" w:left="1134"/>
        <w:contextualSpacing/>
        <w:jc w:val="both"/>
        <w:rPr>
          <w:rFonts w:ascii="Arial" w:hAnsi="Arial" w:cs="Arial"/>
          <w:bCs/>
        </w:rPr>
      </w:pPr>
      <w:r>
        <w:rPr>
          <w:rFonts w:cs="Arial" w:ascii="Arial" w:hAnsi="Arial"/>
          <w:bCs/>
        </w:rPr>
        <w:t xml:space="preserve">Draudimo apsaugos galiojimo teritorija – visas pasaulis, išskyrus Rusija, Baltarusija, Ukraina, Izraelis, kitos karo zonos. </w:t>
      </w:r>
    </w:p>
    <w:p>
      <w:pPr>
        <w:pStyle w:val="ListParagraph"/>
        <w:numPr>
          <w:ilvl w:val="1"/>
          <w:numId w:val="1"/>
        </w:numPr>
        <w:ind w:hanging="567" w:left="1134"/>
        <w:jc w:val="both"/>
        <w:rPr>
          <w:rFonts w:ascii="Arial" w:hAnsi="Arial" w:eastAsia="Times New Roman" w:cs="Arial"/>
          <w:strike/>
          <w:lang w:eastAsia="lt-LT"/>
        </w:rPr>
      </w:pPr>
      <w:r>
        <w:rPr>
          <w:rFonts w:eastAsia="Times New Roman" w:cs="Arial" w:ascii="Arial" w:hAnsi="Arial"/>
          <w:lang w:eastAsia="lt-LT"/>
        </w:rPr>
        <w:t xml:space="preserve">Numatomas sutarties galiojimo laikotarpis – 14 mėnesių. </w:t>
      </w:r>
    </w:p>
    <w:p>
      <w:pPr>
        <w:pStyle w:val="ListParagraph"/>
        <w:numPr>
          <w:ilvl w:val="1"/>
          <w:numId w:val="1"/>
        </w:numPr>
        <w:ind w:hanging="567" w:left="1134"/>
        <w:jc w:val="both"/>
        <w:rPr>
          <w:rFonts w:ascii="Arial" w:hAnsi="Arial" w:eastAsia="Times New Roman" w:cs="Arial"/>
          <w:lang w:eastAsia="lt-LT"/>
        </w:rPr>
      </w:pPr>
      <w:r>
        <w:rPr>
          <w:rFonts w:eastAsia="Times New Roman" w:cs="Arial" w:ascii="Arial" w:hAnsi="Arial"/>
          <w:lang w:eastAsia="lt-LT"/>
        </w:rPr>
        <w:t xml:space="preserve">Draudikas įsipareigoja pateikti Draudėjui draudimo polisą ne vėliau kaip per </w:t>
      </w:r>
      <w:r>
        <w:rPr>
          <w:rFonts w:eastAsia="Times New Roman" w:cs="Arial" w:ascii="Arial" w:hAnsi="Arial"/>
          <w:lang w:val="en-US" w:eastAsia="lt-LT"/>
        </w:rPr>
        <w:t>5</w:t>
      </w:r>
      <w:r>
        <w:rPr>
          <w:rFonts w:eastAsia="Times New Roman" w:cs="Arial" w:ascii="Arial" w:hAnsi="Arial"/>
          <w:lang w:eastAsia="lt-LT"/>
        </w:rPr>
        <w:t xml:space="preserve"> (penkias) darbo dienas nuo Sutarties pasirašymo dienos.</w:t>
      </w:r>
    </w:p>
    <w:p>
      <w:pPr>
        <w:pStyle w:val="ListParagraph"/>
        <w:numPr>
          <w:ilvl w:val="1"/>
          <w:numId w:val="1"/>
        </w:numPr>
        <w:ind w:hanging="567" w:left="1134"/>
        <w:jc w:val="both"/>
        <w:rPr>
          <w:rFonts w:ascii="Arial" w:hAnsi="Arial" w:eastAsia="Times New Roman" w:cs="Arial"/>
          <w:lang w:eastAsia="lt-LT"/>
        </w:rPr>
      </w:pPr>
      <w:r>
        <w:rPr>
          <w:rFonts w:eastAsia="Times New Roman" w:cs="Arial" w:ascii="Arial" w:hAnsi="Arial"/>
          <w:lang w:eastAsia="lt-LT"/>
        </w:rPr>
        <w:t>Draudimo įmokos perskaičiavimas:</w:t>
      </w:r>
    </w:p>
    <w:p>
      <w:pPr>
        <w:pStyle w:val="ListParagraph"/>
        <w:numPr>
          <w:ilvl w:val="2"/>
          <w:numId w:val="1"/>
        </w:numPr>
        <w:ind w:hanging="567" w:left="1134"/>
        <w:jc w:val="both"/>
        <w:rPr>
          <w:rFonts w:ascii="Arial" w:hAnsi="Arial" w:eastAsia="Times New Roman" w:cs="Arial"/>
          <w:lang w:eastAsia="lt-LT"/>
        </w:rPr>
      </w:pPr>
      <w:r>
        <w:rPr>
          <w:rFonts w:cs="Arial" w:ascii="Arial" w:hAnsi="Arial"/>
        </w:rPr>
        <w:t>Pasibaigus draudimo laikotarpiui, Draudikas draudimo įmoką perskaičiuoja atsižvelgdamas į bendrą darbuotojų skaičius pokytį. Jei  apdraustų darbuotojų skaičius sumažėja ar padidėja daugiau kaip 10</w:t>
      </w:r>
      <w:r>
        <w:rPr>
          <w:rFonts w:cs="Arial" w:ascii="Arial" w:hAnsi="Arial"/>
          <w:lang w:val="en-US"/>
        </w:rPr>
        <w:t>% nuo 2.2. papunktyje nurodyto bendro apdraust</w:t>
      </w:r>
      <w:r>
        <w:rPr>
          <w:rFonts w:cs="Arial" w:ascii="Arial" w:hAnsi="Arial"/>
        </w:rPr>
        <w:t xml:space="preserve">ųjų darbuotojų skaičiaus, tuomet draudimo įmoka perskaičiuojama. </w:t>
      </w:r>
    </w:p>
    <w:p>
      <w:pPr>
        <w:pStyle w:val="ListParagraph"/>
        <w:ind w:left="1134"/>
        <w:jc w:val="both"/>
        <w:rPr>
          <w:rFonts w:ascii="Arial" w:hAnsi="Arial" w:cs="Arial"/>
        </w:rPr>
      </w:pPr>
      <w:r>
        <w:rPr>
          <w:rFonts w:cs="Arial" w:ascii="Arial" w:hAnsi="Arial"/>
        </w:rPr>
        <w:t>Draudėjas, apie apdraustų darbuotojų skaičiaus pasikeitimus informuoja Draudiką per 10 darbo dienų kai pasibaigia draudimo laikotarpis. Draudikas remdamasis pateiktais duomenimis perskaičiuoja draudimo įmoką proporcingai apdraustų darbuotojų skaičiui ir draudimo apsaugos galiojimo laikotarpiui.</w:t>
      </w:r>
    </w:p>
    <w:p>
      <w:pPr>
        <w:pStyle w:val="ListParagraph"/>
        <w:ind w:left="1134"/>
        <w:jc w:val="both"/>
        <w:rPr>
          <w:rFonts w:ascii="Arial" w:hAnsi="Arial" w:eastAsia="Times New Roman" w:cs="Arial"/>
        </w:rPr>
      </w:pPr>
      <w:r>
        <w:rPr>
          <w:rFonts w:cs="Arial" w:ascii="Arial" w:hAnsi="Arial"/>
        </w:rPr>
        <w:t>Darbuotojų skaičiaus padidėjimo atveju Draudėjas sumoka papildomą įmoką Draudikui. Darbuotojų skaičiaus sumažėjimo atveju Draudikas grąžina Draudėjo sumokėtą įmoka. Draudimo įmokų mokėjimo tvarka nurodyta Sutarties specialiųjų sąlygų 2.6. papunktyje.</w:t>
      </w:r>
    </w:p>
    <w:p>
      <w:pPr>
        <w:pStyle w:val="ListParagraph"/>
        <w:numPr>
          <w:ilvl w:val="2"/>
          <w:numId w:val="1"/>
        </w:numPr>
        <w:spacing w:lineRule="auto" w:line="240" w:before="0" w:after="0"/>
        <w:ind w:hanging="567" w:left="1134"/>
        <w:contextualSpacing/>
        <w:jc w:val="both"/>
        <w:rPr>
          <w:rFonts w:ascii="Arial" w:hAnsi="Arial" w:cs="Arial"/>
        </w:rPr>
      </w:pPr>
      <w:r>
        <w:rPr>
          <w:rFonts w:cs="Arial" w:ascii="Arial" w:hAnsi="Arial"/>
        </w:rPr>
        <w:t xml:space="preserve">Pasibaigus draudimo laikotarpiui, Draudikas draudimo įmoką perskaičiuoja visais atvejais kai darbuotojų skaičius apdraustų pareigybių kategorijoje „Valstybių miškų apsaugos pareigūnai“ pasikeičia </w:t>
      </w:r>
      <w:r>
        <w:rPr>
          <w:rFonts w:cs="Arial" w:ascii="Arial" w:hAnsi="Arial"/>
          <w:lang w:val="en-US"/>
        </w:rPr>
        <w:t>nuo 2.2. papunktyje nurodyto apdraust</w:t>
      </w:r>
      <w:r>
        <w:rPr>
          <w:rFonts w:cs="Arial" w:ascii="Arial" w:hAnsi="Arial"/>
        </w:rPr>
        <w:t xml:space="preserve">ųjų darbuotojų skaičiaus pareigybių kategorijoje „Valstybiniai miškų apsaugos pareigūnai “. </w:t>
      </w:r>
    </w:p>
    <w:p>
      <w:pPr>
        <w:pStyle w:val="ListParagraph"/>
        <w:ind w:left="1134"/>
        <w:jc w:val="both"/>
        <w:rPr>
          <w:rFonts w:ascii="Arial" w:hAnsi="Arial" w:cs="Arial"/>
        </w:rPr>
      </w:pPr>
      <w:r>
        <w:rPr>
          <w:rFonts w:cs="Arial" w:ascii="Arial" w:hAnsi="Arial"/>
        </w:rPr>
        <w:t>Draudėjas, apie apdraustų darbuotojų skaičiaus pasikeitimus informuoja Draudiką per 10 darbo dienų kai pasibaigia draudimo laikotarpis. Draudikas remdamasis pateiktais duomenimis perskaičiuoja draudimo įmoką proporcingai apdraustų darbuotojų skaičiui ir draudimo apsaugos galiojimo laikotarpiui.</w:t>
      </w:r>
    </w:p>
    <w:p>
      <w:pPr>
        <w:pStyle w:val="ListParagraph"/>
        <w:ind w:left="1134"/>
        <w:jc w:val="both"/>
        <w:rPr>
          <w:rFonts w:ascii="Arial" w:hAnsi="Arial" w:eastAsia="Times New Roman" w:cs="Arial"/>
        </w:rPr>
      </w:pPr>
      <w:r>
        <w:rPr>
          <w:rFonts w:cs="Arial" w:ascii="Arial" w:hAnsi="Arial"/>
        </w:rPr>
        <w:t>Darbuotojų skaičiaus padidėjimo atveju Draudėjas sumoka papildomą įmoką Draudikui. Darbuotojų skaičiaus sumažėjimo atveju Draudikas grąžina Draudėjo sumokėtą įmoka. Draudimo įmokų mokėjimo tvarka nurodyta Sutarties specialiųjų sąlygų 2.6. papunktyje.</w:t>
      </w:r>
    </w:p>
    <w:p>
      <w:pPr>
        <w:pStyle w:val="ListParagraph"/>
        <w:numPr>
          <w:ilvl w:val="3"/>
          <w:numId w:val="1"/>
        </w:numPr>
        <w:spacing w:lineRule="auto" w:line="252" w:before="0" w:after="0"/>
        <w:ind w:hanging="1090" w:left="1843"/>
        <w:contextualSpacing/>
        <w:jc w:val="both"/>
        <w:rPr>
          <w:rFonts w:ascii="Arial" w:hAnsi="Arial" w:cs="Arial"/>
        </w:rPr>
      </w:pPr>
      <w:r>
        <w:rPr>
          <w:rFonts w:cs="Arial" w:ascii="Arial" w:hAnsi="Arial"/>
        </w:rPr>
        <w:t xml:space="preserve">Nuo to momento kai darbuotojas nustoja eiti pareigas, kurios patenka į apdraustųjų pareigybių kategoriją „Valstybinių miškų apsaugos pareigūnai“ ir pradeda eiti pareigas, kuri patenka į apdraustųjų pareigybių kategoriją „Kiti darbuotojai“, apdraustajam darbuotojui įsigalioja draudimo suma, kuri yra numatyta pareigybių kategorijoje „Kiti darbuotojai“. </w:t>
      </w:r>
    </w:p>
    <w:p>
      <w:pPr>
        <w:pStyle w:val="ListParagraph"/>
        <w:numPr>
          <w:ilvl w:val="3"/>
          <w:numId w:val="1"/>
        </w:numPr>
        <w:ind w:hanging="1123" w:left="1843"/>
        <w:jc w:val="both"/>
        <w:rPr>
          <w:rFonts w:ascii="Arial" w:hAnsi="Arial" w:cs="Arial"/>
        </w:rPr>
      </w:pPr>
      <w:r>
        <w:rPr>
          <w:rFonts w:cs="Arial" w:ascii="Arial" w:hAnsi="Arial"/>
        </w:rPr>
        <w:t xml:space="preserve">Nuo to momento kai darbuotojas nustoja eiti pareigas, kurios patenka į apdraustųjų pareigybių kategoriją „Kiti darbuotojai“ ir pradeda eiti pareigas, kurios patenka į apdraustųjų pareigybių kategorija „Valstybinių miškų apsaugos pareigūnai“, apdraustajam darbuotojui įsigalioja draudimo suma, kuri yra numatyta pareigybių kategorijoje „Valstybinių miškų apsaugos pareigūnai“. </w:t>
      </w:r>
    </w:p>
    <w:p>
      <w:pPr>
        <w:pStyle w:val="ListParagraph"/>
        <w:numPr>
          <w:ilvl w:val="1"/>
          <w:numId w:val="1"/>
        </w:numPr>
        <w:spacing w:lineRule="auto" w:line="240" w:before="0" w:after="0"/>
        <w:ind w:hanging="567" w:left="1134"/>
        <w:contextualSpacing/>
        <w:jc w:val="both"/>
        <w:rPr>
          <w:rFonts w:ascii="Arial" w:hAnsi="Arial" w:cs="Arial"/>
          <w:bCs/>
        </w:rPr>
      </w:pPr>
      <w:r>
        <w:rPr>
          <w:rFonts w:cs="Arial" w:ascii="Arial" w:hAnsi="Arial"/>
          <w:bCs/>
        </w:rPr>
        <w:t xml:space="preserve">Sutarties vykdymo metu gali keistis sąraše nurodytų pareigybių pavadinimai. </w:t>
      </w:r>
    </w:p>
    <w:p>
      <w:pPr>
        <w:pStyle w:val="ListParagraph"/>
        <w:numPr>
          <w:ilvl w:val="1"/>
          <w:numId w:val="1"/>
        </w:numPr>
        <w:spacing w:lineRule="auto" w:line="240" w:before="0" w:after="0"/>
        <w:ind w:hanging="567" w:left="1134"/>
        <w:contextualSpacing/>
        <w:jc w:val="both"/>
        <w:rPr>
          <w:rFonts w:ascii="Arial" w:hAnsi="Arial" w:cs="Arial"/>
          <w:bCs/>
        </w:rPr>
      </w:pPr>
      <w:r>
        <w:rPr>
          <w:rFonts w:cs="Arial" w:ascii="Arial" w:hAnsi="Arial"/>
          <w:bCs/>
        </w:rPr>
        <w:t>VMU darbuotojų Draudimo nuo nelaimingų atsitikimų paslaugų pirkimo techninės specifikacijos priede Nr. 1 nurodytas preliminarus darbuotojų skaičius. Sudarant draudimo liudijimą bus draudžiamas faktinis darbuotojų skaičius sutarties sudarymo (ar pratęsimo) dieną.</w:t>
      </w:r>
    </w:p>
    <w:p>
      <w:pPr>
        <w:pStyle w:val="ListParagraph"/>
        <w:numPr>
          <w:ilvl w:val="1"/>
          <w:numId w:val="1"/>
        </w:numPr>
        <w:shd w:val="clear" w:color="auto" w:fill="FFFFFF"/>
        <w:spacing w:lineRule="auto" w:line="240" w:before="16" w:after="0"/>
        <w:ind w:hanging="567" w:left="1134"/>
        <w:contextualSpacing/>
        <w:jc w:val="both"/>
        <w:rPr>
          <w:rFonts w:ascii="Arial" w:hAnsi="Arial" w:eastAsia="Times New Roman" w:cs="Arial"/>
          <w:lang w:eastAsia="lt-LT"/>
        </w:rPr>
      </w:pPr>
      <w:bookmarkStart w:id="5" w:name="_Hlk73540082"/>
      <w:r>
        <w:rPr>
          <w:rFonts w:eastAsia="Times New Roman" w:cs="Arial" w:ascii="Arial" w:hAnsi="Arial"/>
          <w:lang w:eastAsia="lt-LT"/>
        </w:rPr>
        <w:t>Visos su Paslaugų teikimu susijusios išlaidos turi būti įtraukiamos į Paslaugų kainą.</w:t>
      </w:r>
      <w:bookmarkEnd w:id="5"/>
    </w:p>
    <w:p>
      <w:pPr>
        <w:pStyle w:val="ListParagraph"/>
        <w:numPr>
          <w:ilvl w:val="1"/>
          <w:numId w:val="1"/>
        </w:numPr>
        <w:ind w:hanging="567" w:left="1134"/>
        <w:jc w:val="both"/>
        <w:rPr>
          <w:rFonts w:ascii="Arial" w:hAnsi="Arial" w:eastAsia="Times New Roman" w:cs="Arial"/>
          <w:lang w:eastAsia="lt-LT"/>
        </w:rPr>
      </w:pPr>
      <w:r>
        <w:rPr>
          <w:rFonts w:eastAsia="Times New Roman" w:cs="Arial" w:ascii="Arial" w:hAnsi="Arial"/>
          <w:lang w:eastAsia="lt-LT"/>
        </w:rPr>
        <w:t>Taikomos standartinės draudimo įmonės darbuotojų draudimo taisyklės tiek, kiek jos neprieštarauja šioje specifikacijoje nurodytoms sąlygoms.</w:t>
      </w:r>
    </w:p>
    <w:p>
      <w:pPr>
        <w:pStyle w:val="ListParagraph"/>
        <w:numPr>
          <w:ilvl w:val="1"/>
          <w:numId w:val="1"/>
        </w:numPr>
        <w:shd w:val="clear" w:color="auto" w:fill="FFFFFF"/>
        <w:spacing w:lineRule="auto" w:line="240" w:before="16" w:after="0"/>
        <w:ind w:hanging="567" w:left="1134"/>
        <w:contextualSpacing/>
        <w:jc w:val="both"/>
        <w:rPr>
          <w:rFonts w:ascii="Arial" w:hAnsi="Arial" w:eastAsia="Times New Roman" w:cs="Arial"/>
          <w:lang w:eastAsia="lt-LT"/>
        </w:rPr>
      </w:pPr>
      <w:r>
        <w:rPr>
          <w:rFonts w:eastAsia="Times New Roman" w:cs="Arial" w:ascii="Arial" w:hAnsi="Arial"/>
          <w:lang w:eastAsia="lt-LT"/>
        </w:rPr>
        <w:t>Teikėjas įsipareigoja - tinkamai, kokybiškai ir laiku teikti Paslaugas pagal nustatytus reikalavimus, t. y. visą Paslaugų teikimo laikotarpį užtikrinti draudimo apsaugą.</w:t>
      </w:r>
    </w:p>
    <w:p>
      <w:pPr>
        <w:pStyle w:val="ListParagraph"/>
        <w:numPr>
          <w:ilvl w:val="1"/>
          <w:numId w:val="1"/>
        </w:numPr>
        <w:spacing w:lineRule="auto" w:line="240" w:before="16" w:after="0"/>
        <w:ind w:hanging="567" w:left="1134"/>
        <w:contextualSpacing/>
        <w:jc w:val="both"/>
        <w:rPr>
          <w:rFonts w:ascii="Arial" w:hAnsi="Arial" w:eastAsia="Times New Roman" w:cs="Arial"/>
          <w:lang w:eastAsia="lt-LT"/>
        </w:rPr>
      </w:pPr>
      <w:r>
        <w:rPr>
          <w:rFonts w:cs="Arial" w:ascii="Arial" w:hAnsi="Arial"/>
        </w:rPr>
        <w:t xml:space="preserve">Draudimo sutartis sudaroma ir administruojama tarpininkaujant Aon Baltic, UADBB, pagal Valstybinių miškų urėdija, VĮ ir Aon Baltic, UADBB 2024 m. lapkričio 6 d pasirašytą draudimo brokerių paslaugų teikimo sutartį Nr. 77-VP-7887-2024. </w:t>
      </w:r>
    </w:p>
    <w:p>
      <w:pPr>
        <w:pStyle w:val="ListParagraph"/>
        <w:shd w:val="clear" w:color="auto" w:fill="FFFFFF"/>
        <w:spacing w:lineRule="auto" w:line="240" w:before="16" w:after="0"/>
        <w:ind w:left="1572"/>
        <w:contextualSpacing/>
        <w:jc w:val="both"/>
        <w:rPr>
          <w:rFonts w:ascii="Arial" w:hAnsi="Arial" w:eastAsia="Times New Roman" w:cs="Arial"/>
          <w:lang w:eastAsia="lt-LT"/>
        </w:rPr>
      </w:pPr>
      <w:r>
        <w:rPr>
          <w:rFonts w:eastAsia="Times New Roman" w:cs="Arial" w:ascii="Arial" w:hAnsi="Arial"/>
          <w:lang w:eastAsia="lt-LT"/>
        </w:rPr>
      </w:r>
      <w:bookmarkStart w:id="6" w:name="_Hlk27118234"/>
      <w:bookmarkStart w:id="7" w:name="_Hlk73540119"/>
      <w:bookmarkStart w:id="8" w:name="_Hlk27118234"/>
      <w:bookmarkStart w:id="9" w:name="_Hlk73540119"/>
      <w:bookmarkEnd w:id="8"/>
      <w:bookmarkEnd w:id="9"/>
    </w:p>
    <w:p>
      <w:pPr>
        <w:pStyle w:val="Normal"/>
        <w:spacing w:lineRule="auto" w:line="240" w:before="0" w:after="0"/>
        <w:ind w:firstLine="720"/>
        <w:jc w:val="center"/>
        <w:rPr>
          <w:rFonts w:ascii="Arial" w:hAnsi="Arial" w:cs="Arial"/>
        </w:rPr>
      </w:pPr>
      <w:r>
        <w:rPr>
          <w:rFonts w:cs="Arial" w:ascii="Arial" w:hAnsi="Arial"/>
        </w:rPr>
        <w:t>________________</w:t>
      </w:r>
    </w:p>
    <w:p>
      <w:pPr>
        <w:pStyle w:val="Normal"/>
        <w:rPr>
          <w:rFonts w:ascii="Arial" w:hAnsi="Arial" w:cs="Arial"/>
        </w:rPr>
      </w:pPr>
      <w:r>
        <w:rPr>
          <w:rFonts w:cs="Arial" w:ascii="Arial" w:hAnsi="Arial"/>
        </w:rPr>
      </w:r>
      <w:r>
        <w:br w:type="page"/>
      </w:r>
    </w:p>
    <w:p>
      <w:pPr>
        <w:pStyle w:val="Normal"/>
        <w:spacing w:lineRule="auto" w:line="240" w:before="0" w:after="0"/>
        <w:jc w:val="center"/>
        <w:rPr>
          <w:rFonts w:ascii="Arial" w:hAnsi="Arial" w:cs="Arial"/>
          <w:b/>
        </w:rPr>
      </w:pPr>
      <w:r>
        <w:rPr>
          <w:rFonts w:cs="Arial" w:ascii="Arial" w:hAnsi="Arial"/>
          <w:b/>
        </w:rPr>
        <w:t>VĮ VALSTYBINIŲ MIŠKŲ URĖDIJOS DARBUOTOJŲ DRAUDIMO NUO NELAIMINGŲ ATSITIKIMŲ PASLAUGŲ PIRKIMO TECHNINĖS SPECIFIKACIJOS PRIEDAS Nr. 1</w:t>
      </w:r>
    </w:p>
    <w:p>
      <w:pPr>
        <w:pStyle w:val="Normal"/>
        <w:spacing w:lineRule="auto" w:line="240" w:before="0" w:after="0"/>
        <w:rPr>
          <w:rFonts w:ascii="Arial" w:hAnsi="Arial" w:cs="Arial"/>
          <w:b/>
        </w:rPr>
      </w:pPr>
      <w:r>
        <w:rPr>
          <w:rFonts w:cs="Arial" w:ascii="Arial" w:hAnsi="Arial"/>
          <w:b/>
        </w:rPr>
      </w:r>
    </w:p>
    <w:p>
      <w:pPr>
        <w:pStyle w:val="Normal"/>
        <w:spacing w:lineRule="auto" w:line="240" w:before="0" w:after="0"/>
        <w:rPr>
          <w:rFonts w:ascii="Arial" w:hAnsi="Arial" w:cs="Arial"/>
          <w:b/>
          <w:bCs/>
        </w:rPr>
      </w:pPr>
      <w:r>
        <w:rPr>
          <w:rFonts w:cs="Arial" w:ascii="Arial" w:hAnsi="Arial"/>
          <w:b/>
          <w:bCs/>
        </w:rPr>
        <w:t>2025 m.  liepos 17 d. duomenimis:</w:t>
      </w:r>
    </w:p>
    <w:tbl>
      <w:tblPr>
        <w:tblW w:w="1019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8077"/>
        <w:gridCol w:w="2118"/>
      </w:tblGrid>
      <w:tr>
        <w:trPr>
          <w:tblHeader w:val="true"/>
          <w:trHeight w:val="300" w:hRule="atLeast"/>
        </w:trPr>
        <w:tc>
          <w:tcPr>
            <w:tcW w:w="8077" w:type="dxa"/>
            <w:tcBorders>
              <w:top w:val="single" w:sz="8" w:space="0" w:color="000000"/>
              <w:left w:val="single" w:sz="8" w:space="0" w:color="000000"/>
              <w:bottom w:val="single" w:sz="8" w:space="0" w:color="000000"/>
              <w:right w:val="single" w:sz="8" w:space="0" w:color="000000"/>
            </w:tcBorders>
            <w:shd w:color="000000" w:fill="C5E0B3" w:val="clear"/>
            <w:vAlign w:val="center"/>
          </w:tcPr>
          <w:p>
            <w:pPr>
              <w:pStyle w:val="Normal"/>
              <w:spacing w:lineRule="auto" w:line="240" w:before="0" w:after="0"/>
              <w:rPr>
                <w:rFonts w:ascii="Arial" w:hAnsi="Arial" w:eastAsia="Times New Roman" w:cs="Arial"/>
                <w:b/>
                <w:bCs/>
                <w:color w:val="000000"/>
                <w:lang w:eastAsia="lt-LT"/>
              </w:rPr>
            </w:pPr>
            <w:r>
              <w:rPr>
                <w:rFonts w:eastAsia="Times New Roman" w:cs="Arial" w:ascii="Arial" w:hAnsi="Arial"/>
                <w:b/>
                <w:bCs/>
                <w:color w:val="000000"/>
                <w:lang w:eastAsia="lt-LT"/>
              </w:rPr>
              <w:t>Pareigybė</w:t>
            </w:r>
          </w:p>
        </w:tc>
        <w:tc>
          <w:tcPr>
            <w:tcW w:w="2118" w:type="dxa"/>
            <w:tcBorders>
              <w:top w:val="single" w:sz="8" w:space="0" w:color="000000"/>
              <w:right w:val="single" w:sz="8" w:space="0" w:color="000000"/>
            </w:tcBorders>
            <w:shd w:color="000000" w:fill="C5E0B3" w:val="clear"/>
            <w:vAlign w:val="center"/>
          </w:tcPr>
          <w:p>
            <w:pPr>
              <w:pStyle w:val="Normal"/>
              <w:spacing w:lineRule="auto" w:line="240" w:before="0" w:after="0"/>
              <w:jc w:val="center"/>
              <w:rPr>
                <w:rFonts w:ascii="Arial" w:hAnsi="Arial" w:eastAsia="Times New Roman" w:cs="Arial"/>
                <w:b/>
                <w:bCs/>
                <w:color w:val="000000"/>
                <w:lang w:eastAsia="lt-LT"/>
              </w:rPr>
            </w:pPr>
            <w:r>
              <w:rPr>
                <w:rFonts w:eastAsia="Times New Roman" w:cs="Arial" w:ascii="Arial" w:hAnsi="Arial"/>
                <w:b/>
                <w:bCs/>
                <w:color w:val="000000"/>
                <w:lang w:eastAsia="lt-LT"/>
              </w:rPr>
              <w:t>Darbuotojų sk.</w:t>
            </w:r>
          </w:p>
        </w:tc>
      </w:tr>
      <w:tr>
        <w:trPr>
          <w:trHeight w:val="300" w:hRule="atLeast"/>
        </w:trPr>
        <w:tc>
          <w:tcPr>
            <w:tcW w:w="8077" w:type="dxa"/>
            <w:tcBorders>
              <w:left w:val="single" w:sz="8" w:space="0" w:color="000000"/>
              <w:bottom w:val="single" w:sz="8" w:space="0" w:color="000000"/>
              <w:right w:val="single" w:sz="8" w:space="0" w:color="000000"/>
            </w:tcBorders>
            <w:shd w:color="000000" w:fill="C5E0B3" w:val="clear"/>
            <w:vAlign w:val="center"/>
          </w:tcPr>
          <w:p>
            <w:pPr>
              <w:pStyle w:val="ListParagraph"/>
              <w:numPr>
                <w:ilvl w:val="1"/>
                <w:numId w:val="2"/>
              </w:numPr>
              <w:spacing w:lineRule="auto" w:line="240" w:before="0" w:after="0"/>
              <w:contextualSpacing/>
              <w:rPr>
                <w:rFonts w:ascii="Arial" w:hAnsi="Arial" w:eastAsia="Times New Roman" w:cs="Arial"/>
                <w:color w:val="000000"/>
                <w:lang w:eastAsia="lt-LT"/>
              </w:rPr>
            </w:pPr>
            <w:r>
              <w:rPr>
                <w:rFonts w:eastAsia="Times New Roman" w:cs="Arial" w:ascii="Arial" w:hAnsi="Arial"/>
                <w:color w:val="000000"/>
                <w:lang w:eastAsia="lt-LT"/>
              </w:rPr>
              <w:t>Valstybinių miškų apsaugos pareigūnai:</w:t>
            </w:r>
          </w:p>
        </w:tc>
        <w:tc>
          <w:tcPr>
            <w:tcW w:w="2118" w:type="dxa"/>
            <w:tcBorders>
              <w:top w:val="single" w:sz="8" w:space="0" w:color="000000"/>
              <w:bottom w:val="single" w:sz="8" w:space="0" w:color="000000"/>
              <w:right w:val="single" w:sz="8" w:space="0" w:color="000000"/>
            </w:tcBorders>
            <w:shd w:color="000000" w:fill="C5E0B3" w:val="clear"/>
            <w:vAlign w:val="center"/>
          </w:tcPr>
          <w:p>
            <w:pPr>
              <w:pStyle w:val="Normal"/>
              <w:spacing w:lineRule="auto" w:line="240" w:before="0" w:after="0"/>
              <w:jc w:val="center"/>
              <w:rPr>
                <w:rFonts w:ascii="Arial" w:hAnsi="Arial" w:eastAsia="Times New Roman" w:cs="Arial"/>
                <w:b/>
                <w:bCs/>
                <w:color w:val="000000"/>
                <w:lang w:eastAsia="lt-LT"/>
              </w:rPr>
            </w:pPr>
            <w:r>
              <w:rPr>
                <w:rFonts w:eastAsia="Times New Roman" w:cs="Arial" w:ascii="Arial" w:hAnsi="Arial"/>
                <w:b/>
                <w:bCs/>
                <w:color w:val="000000"/>
                <w:lang w:eastAsia="lt-LT"/>
              </w:rPr>
              <w:t>243</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Girininkas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192</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Miško apsaugos specialistas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Miškininkystės skyriaus vyresnysis specialistas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Prevencijos ir rizikų valdymo skyriaus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Prevencijos ir rizikų valdymo skyriaus vyriausiasis specialistas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4</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Vyriausiasis miškininkas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23</w:t>
            </w:r>
          </w:p>
        </w:tc>
      </w:tr>
      <w:tr>
        <w:trPr>
          <w:trHeight w:val="300" w:hRule="atLeast"/>
        </w:trPr>
        <w:tc>
          <w:tcPr>
            <w:tcW w:w="8077" w:type="dxa"/>
            <w:tcBorders>
              <w:left w:val="single" w:sz="8" w:space="0" w:color="000000"/>
              <w:bottom w:val="single" w:sz="8" w:space="0" w:color="000000"/>
              <w:right w:val="single" w:sz="8" w:space="0" w:color="000000"/>
            </w:tcBorders>
            <w:shd w:color="000000" w:fill="C5E0B3" w:val="clear"/>
            <w:vAlign w:val="center"/>
          </w:tcPr>
          <w:p>
            <w:pPr>
              <w:pStyle w:val="ListParagraph"/>
              <w:numPr>
                <w:ilvl w:val="1"/>
                <w:numId w:val="2"/>
              </w:numPr>
              <w:spacing w:lineRule="auto" w:line="240" w:before="0" w:after="0"/>
              <w:contextualSpacing/>
              <w:rPr>
                <w:rFonts w:ascii="Arial" w:hAnsi="Arial" w:eastAsia="Times New Roman" w:cs="Arial"/>
                <w:color w:val="000000"/>
                <w:lang w:eastAsia="lt-LT"/>
              </w:rPr>
            </w:pPr>
            <w:r>
              <w:rPr>
                <w:rFonts w:eastAsia="Times New Roman" w:cs="Arial" w:ascii="Arial" w:hAnsi="Arial"/>
                <w:color w:val="000000"/>
                <w:lang w:eastAsia="lt-LT"/>
              </w:rPr>
              <w:t>Kiti darbuotojai:</w:t>
            </w:r>
          </w:p>
        </w:tc>
        <w:tc>
          <w:tcPr>
            <w:tcW w:w="2118" w:type="dxa"/>
            <w:tcBorders>
              <w:bottom w:val="single" w:sz="8" w:space="0" w:color="000000"/>
              <w:right w:val="single" w:sz="8" w:space="0" w:color="000000"/>
            </w:tcBorders>
            <w:shd w:color="000000" w:fill="C5E0B3" w:val="clear"/>
            <w:vAlign w:val="center"/>
          </w:tcPr>
          <w:p>
            <w:pPr>
              <w:pStyle w:val="Normal"/>
              <w:spacing w:lineRule="auto" w:line="240" w:before="0" w:after="0"/>
              <w:jc w:val="center"/>
              <w:rPr>
                <w:rFonts w:ascii="Arial" w:hAnsi="Arial" w:eastAsia="Times New Roman" w:cs="Arial"/>
                <w:b/>
                <w:bCs/>
                <w:color w:val="000000"/>
                <w:lang w:eastAsia="lt-LT"/>
              </w:rPr>
            </w:pPr>
            <w:r>
              <w:rPr>
                <w:rFonts w:eastAsia="Times New Roman" w:cs="Arial" w:ascii="Arial" w:hAnsi="Arial"/>
                <w:b/>
                <w:bCs/>
                <w:color w:val="000000"/>
                <w:lang w:eastAsia="lt-LT"/>
              </w:rPr>
              <w:t>2342</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Administravimo direktorius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Administravimo grupės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Analitikas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5</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Apskaitos projektų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Apskaitos specialistas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30</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Buhalterinės apskaitos skyriaus vadovas - vyriausias buhalteris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Buhalteris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Dailidė</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14</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Darbininkas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22</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Darbuotojų saugos ir aplinkosaugos skyriaus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Darbuotojų saugos ir sveikatos specialistas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14</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Dokumentų valdymo skyriaus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Duomenų apsaugos pareigūnas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Duomenų valdymo specialistas - administratorius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27</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Elektrikas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9</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Finansų direktorius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Finansų kontrolierius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Gamybos organizavimo vyr. specialistas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23</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Gamtos apsaugos, gamtotvarkos, rekreacijos ir medžioklės skyriaus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Gamtotvarkos specialistas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14</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Generalinio direktoriaus referentas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Generalinis direktorius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Girininko pavaduotojas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Grupės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9</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Informacinio centro specialistas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Informacinių technologijų infrastruktūros grupės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Inovacijų ir tvarios plėtros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IT administratorius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4</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IT analitikas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6</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IT skyriaus vadovas</w:t>
            </w:r>
          </w:p>
        </w:tc>
        <w:tc>
          <w:tcPr>
            <w:tcW w:w="2118" w:type="dxa"/>
            <w:tcBorders>
              <w:bottom w:val="single" w:sz="4"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IT specialistas</w:t>
            </w:r>
          </w:p>
        </w:tc>
        <w:tc>
          <w:tcPr>
            <w:tcW w:w="2118" w:type="dxa"/>
            <w:tcBorders>
              <w:top w:val="single" w:sz="4"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10</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IT sprendimų architektas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IT turto administratorius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Jėgeris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5</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Komunikacijos skyriaus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Logistikos specialistas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24</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Mechanikas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24</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Medelyno darbininkas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167</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Medelyno specialistas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13</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Medelyno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Medelynų padalinio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Medienos meistras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232</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Medienos prekybos ir logistikos skyriaus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Medienos ruošos ir prekybos direktorius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Medienos ruošos ir prekybos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Medienos ruošos skyriaus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Medienos ruošos specialistas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16</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Medienvežio operatorius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32</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Medkirtės operatorius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58</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Medkirtės-medvežės operatorius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5</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Medvežės operatorius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79</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Medžioklės plotų prižiūrėtojas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5</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Miškininkystės direktorius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Miškininkystės skyriaus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Miško auginimo specialistas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25</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Miško infrastruktūros skyriaus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Miško išteklių apskaitos skyriaus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Miško išteklių specialistas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22</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Miškotvarkos direktorius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Miškotvarkos grupės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3</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Miškotvarkos skyriaus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Miškų ūkio darbininkas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233</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Mokesčių apskaitos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Nekilnojamojo turto valdymo skyriaus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Pagalbos vartotojams grupės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Prekybos vadybininkas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27</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Priešgaisrinės saugos operatorius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41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Priešgaisrinės saugos sargas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31</w:t>
            </w:r>
          </w:p>
        </w:tc>
      </w:tr>
      <w:tr>
        <w:trPr>
          <w:trHeight w:val="300" w:hRule="atLeast"/>
        </w:trPr>
        <w:tc>
          <w:tcPr>
            <w:tcW w:w="8077"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Priešgaisrinės saugos sargas -  ugniagesys</w:t>
            </w:r>
          </w:p>
        </w:tc>
        <w:tc>
          <w:tcPr>
            <w:tcW w:w="2118" w:type="dxa"/>
            <w:tcBorders>
              <w:top w:val="single" w:sz="8"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56</w:t>
            </w:r>
          </w:p>
        </w:tc>
      </w:tr>
      <w:tr>
        <w:trPr>
          <w:trHeight w:val="300" w:hRule="atLeast"/>
        </w:trPr>
        <w:tc>
          <w:tcPr>
            <w:tcW w:w="8077" w:type="dxa"/>
            <w:tcBorders>
              <w:top w:val="single" w:sz="8" w:space="0" w:color="000000"/>
              <w:left w:val="single" w:sz="8" w:space="0" w:color="000000"/>
              <w:bottom w:val="single" w:sz="4"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Procesų valdymo skyriaus vadovas</w:t>
            </w:r>
          </w:p>
        </w:tc>
        <w:tc>
          <w:tcPr>
            <w:tcW w:w="2118" w:type="dxa"/>
            <w:tcBorders>
              <w:top w:val="single" w:sz="8" w:space="0" w:color="000000"/>
              <w:bottom w:val="single" w:sz="4"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top w:val="single" w:sz="4" w:space="0" w:color="000000"/>
              <w:left w:val="single" w:sz="8" w:space="0" w:color="000000"/>
              <w:bottom w:val="single" w:sz="4"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Programuotojas</w:t>
            </w:r>
          </w:p>
        </w:tc>
        <w:tc>
          <w:tcPr>
            <w:tcW w:w="2118" w:type="dxa"/>
            <w:tcBorders>
              <w:top w:val="single" w:sz="4" w:space="0" w:color="000000"/>
              <w:bottom w:val="single" w:sz="4"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3</w:t>
            </w:r>
          </w:p>
        </w:tc>
      </w:tr>
      <w:tr>
        <w:trPr>
          <w:trHeight w:val="300" w:hRule="atLeast"/>
        </w:trPr>
        <w:tc>
          <w:tcPr>
            <w:tcW w:w="8077" w:type="dxa"/>
            <w:tcBorders>
              <w:top w:val="single" w:sz="4"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Projekto koordinatorius</w:t>
            </w:r>
          </w:p>
        </w:tc>
        <w:tc>
          <w:tcPr>
            <w:tcW w:w="2118" w:type="dxa"/>
            <w:tcBorders>
              <w:top w:val="single" w:sz="4"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Projektų koordinatorius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Projektų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Regioninio padalinio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22</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Rizikų valdymo koordinatorius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Sargas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Sargas-kūrikas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16</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Sistemų plėtros grupės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Specialistas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539</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Specialistas (taksatorius)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20</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Stumbrininkas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5</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Sunkiosios technikos operatorius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54</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Šaltkalvis - remontininkas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36</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Technologijų direktorius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Teisės skyriaus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Teisininkas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Traktorininkas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55</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Transporto valdymo skyriaus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Tvarumo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Ūkinių priemonių projektavimo skyriaus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Ūkvedys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19</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Vairuotojas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27</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Valytojas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51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Vidaus audito skyriaus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Vidaus auditorius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Viešųjų pirkimų skyriaus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Vyresnysis analitikas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Vyresnysis IT administratorius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Vyresnysis IT analitikas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Vyresnysis IT specialistas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Vyresnysis priešgaisrinės saugos sargas - ugniagesys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74</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Vyresnysis specialistas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34</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Vyresnysis teisininkas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Vyresnysis vidaus auditorius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Vyriausiasis specialistas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6</w:t>
            </w:r>
          </w:p>
        </w:tc>
      </w:tr>
      <w:tr>
        <w:trPr>
          <w:trHeight w:val="300" w:hRule="atLeast"/>
        </w:trPr>
        <w:tc>
          <w:tcPr>
            <w:tcW w:w="8077" w:type="dxa"/>
            <w:tcBorders>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Žmonių ir kultūros skyriaus vadovas</w:t>
            </w:r>
          </w:p>
        </w:tc>
        <w:tc>
          <w:tcPr>
            <w:tcW w:w="2118"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77" w:type="dxa"/>
            <w:tcBorders>
              <w:left w:val="single" w:sz="8" w:space="0" w:color="000000"/>
              <w:bottom w:val="single" w:sz="8" w:space="0" w:color="000000"/>
              <w:right w:val="single" w:sz="8" w:space="0" w:color="000000"/>
            </w:tcBorders>
            <w:shd w:color="000000" w:fill="C5E0B3" w:val="clear"/>
            <w:vAlign w:val="center"/>
          </w:tcPr>
          <w:p>
            <w:pPr>
              <w:pStyle w:val="Normal"/>
              <w:spacing w:lineRule="auto" w:line="240" w:before="0" w:after="0"/>
              <w:rPr>
                <w:rFonts w:ascii="Arial" w:hAnsi="Arial" w:eastAsia="Times New Roman" w:cs="Arial"/>
                <w:b/>
                <w:bCs/>
                <w:color w:val="000000"/>
                <w:lang w:eastAsia="lt-LT"/>
              </w:rPr>
            </w:pPr>
            <w:r>
              <w:rPr>
                <w:rFonts w:eastAsia="Times New Roman" w:cs="Arial" w:ascii="Arial" w:hAnsi="Arial"/>
                <w:b/>
                <w:bCs/>
                <w:color w:val="000000"/>
                <w:lang w:eastAsia="lt-LT"/>
              </w:rPr>
              <w:t>VISO DARBUOTOJŲ</w:t>
            </w:r>
          </w:p>
        </w:tc>
        <w:tc>
          <w:tcPr>
            <w:tcW w:w="2118" w:type="dxa"/>
            <w:tcBorders>
              <w:bottom w:val="single" w:sz="8" w:space="0" w:color="000000"/>
              <w:right w:val="single" w:sz="8" w:space="0" w:color="000000"/>
            </w:tcBorders>
            <w:shd w:color="000000" w:fill="C5E0B3" w:val="clear"/>
            <w:vAlign w:val="center"/>
          </w:tcPr>
          <w:p>
            <w:pPr>
              <w:pStyle w:val="Normal"/>
              <w:spacing w:lineRule="auto" w:line="240" w:before="0" w:after="0"/>
              <w:jc w:val="center"/>
              <w:rPr>
                <w:rFonts w:ascii="Arial" w:hAnsi="Arial" w:eastAsia="Times New Roman" w:cs="Arial"/>
                <w:b/>
                <w:bCs/>
                <w:color w:val="000000"/>
                <w:lang w:eastAsia="lt-LT"/>
              </w:rPr>
            </w:pPr>
            <w:r>
              <w:rPr>
                <w:rFonts w:eastAsia="Times New Roman" w:cs="Arial" w:ascii="Arial" w:hAnsi="Arial"/>
                <w:b/>
                <w:bCs/>
                <w:color w:val="000000"/>
                <w:lang w:eastAsia="lt-LT"/>
              </w:rPr>
              <w:t>2585</w:t>
            </w:r>
          </w:p>
        </w:tc>
      </w:tr>
    </w:tbl>
    <w:p>
      <w:pPr>
        <w:pStyle w:val="Normal"/>
        <w:spacing w:lineRule="auto" w:line="240" w:before="0" w:after="0"/>
        <w:ind w:firstLine="720"/>
        <w:jc w:val="center"/>
        <w:rPr>
          <w:rFonts w:ascii="Arial" w:hAnsi="Arial" w:cs="Arial"/>
        </w:rPr>
      </w:pPr>
      <w:r>
        <w:rPr>
          <w:rFonts w:cs="Arial" w:ascii="Arial" w:hAnsi="Arial"/>
        </w:rPr>
        <w:t>________________________</w:t>
      </w:r>
    </w:p>
    <w:sectPr>
      <w:headerReference w:type="even" r:id="rId2"/>
      <w:headerReference w:type="default" r:id="rId3"/>
      <w:headerReference w:type="first" r:id="rId4"/>
      <w:type w:val="nextPage"/>
      <w:pgSz w:w="12240" w:h="15840"/>
      <w:pgMar w:left="1247" w:right="567" w:gutter="0" w:header="1134" w:top="1647" w:footer="0" w:bottom="992"/>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swiss"/>
    <w:pitch w:val="variable"/>
  </w:font>
  <w:font w:name="TrebuchetMS">
    <w:charset w:val="00"/>
    <w:family w:val="roman"/>
    <w:pitch w:val="variable"/>
  </w:font>
  <w:font w:name="Liberation Sans">
    <w:altName w:val="Arial"/>
    <w:charset w:val="0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819" w:leader="none"/>
        <w:tab w:val="right" w:pos="9638" w:leader="none"/>
      </w:tabs>
      <w:spacing w:lineRule="auto" w:line="240" w:before="0" w:after="0"/>
      <w:jc w:val="right"/>
      <w:rPr>
        <w:rFonts w:ascii="Arial" w:hAnsi="Arial" w:eastAsia="Calibri" w:cs="Arial"/>
        <w:sz w:val="20"/>
        <w:szCs w:val="20"/>
      </w:rPr>
    </w:pPr>
    <w:r>
      <w:rPr>
        <w:rFonts w:eastAsia="Calibri" w:cs="Arial" w:ascii="Arial" w:hAnsi="Arial"/>
        <w:sz w:val="20"/>
        <w:szCs w:val="20"/>
      </w:rPr>
      <w:t>Atviro konkurso Specialiųjų sąlygų priedas Nr. 1 „Techninė specifikacija“</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819" w:leader="none"/>
        <w:tab w:val="right" w:pos="9638" w:leader="none"/>
      </w:tabs>
      <w:spacing w:lineRule="auto" w:line="240" w:before="0" w:after="0"/>
      <w:jc w:val="right"/>
      <w:rPr>
        <w:rFonts w:ascii="Arial" w:hAnsi="Arial" w:eastAsia="Calibri" w:cs="Arial"/>
        <w:sz w:val="20"/>
        <w:szCs w:val="20"/>
      </w:rPr>
    </w:pPr>
    <w:r>
      <w:rPr>
        <w:rFonts w:eastAsia="Calibri" w:cs="Arial" w:ascii="Arial" w:hAnsi="Arial"/>
        <w:sz w:val="20"/>
        <w:szCs w:val="20"/>
      </w:rPr>
      <w:t>Atviro konkurso Specialiųjų sąlygų priedas Nr. 1 „Techninė specifikacija“</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1080" w:hanging="360"/>
      </w:pPr>
      <w:rPr/>
    </w:lvl>
    <w:lvl w:ilvl="1">
      <w:start w:val="1"/>
      <w:numFmt w:val="decimal"/>
      <w:lvlText w:val="%1.%2."/>
      <w:lvlJc w:val="left"/>
      <w:pPr>
        <w:tabs>
          <w:tab w:val="num" w:pos="1080"/>
        </w:tabs>
        <w:ind w:left="1572" w:hanging="720"/>
      </w:pPr>
      <w:rPr>
        <w:dstrike w:val="false"/>
        <w:strike w:val="false"/>
        <w:b w:val="false"/>
        <w:bCs/>
        <w:rFonts w:cs="Arial"/>
      </w:rPr>
    </w:lvl>
    <w:lvl w:ilvl="2">
      <w:start w:val="1"/>
      <w:numFmt w:val="decimal"/>
      <w:lvlText w:val="%1.%2.%3."/>
      <w:lvlJc w:val="left"/>
      <w:pPr>
        <w:tabs>
          <w:tab w:val="num" w:pos="1440"/>
        </w:tabs>
        <w:ind w:left="1713" w:hanging="720"/>
      </w:pPr>
      <w:rPr/>
    </w:lvl>
    <w:lvl w:ilvl="3">
      <w:start w:val="1"/>
      <w:numFmt w:val="decimal"/>
      <w:lvlText w:val="%1.%2.%3.%4."/>
      <w:lvlJc w:val="left"/>
      <w:pPr>
        <w:tabs>
          <w:tab w:val="num" w:pos="1800"/>
        </w:tabs>
        <w:ind w:left="1800" w:hanging="1080"/>
      </w:pPr>
      <w:rPr>
        <w:sz w:val="22"/>
        <w:szCs w:val="22"/>
      </w:rPr>
    </w:lvl>
    <w:lvl w:ilvl="4">
      <w:start w:val="1"/>
      <w:numFmt w:val="decimal"/>
      <w:lvlText w:val="%1.%2.%3.%4.%5."/>
      <w:lvlJc w:val="left"/>
      <w:pPr>
        <w:tabs>
          <w:tab w:val="num" w:pos="2160"/>
        </w:tabs>
        <w:ind w:left="1800" w:hanging="1080"/>
      </w:pPr>
      <w:rPr/>
    </w:lvl>
    <w:lvl w:ilvl="5">
      <w:start w:val="1"/>
      <w:numFmt w:val="decimal"/>
      <w:lvlText w:val="%1.%2.%3.%4.%5.%6."/>
      <w:lvlJc w:val="left"/>
      <w:pPr>
        <w:tabs>
          <w:tab w:val="num" w:pos="2520"/>
        </w:tabs>
        <w:ind w:left="2160" w:hanging="1440"/>
      </w:pPr>
      <w:rPr/>
    </w:lvl>
    <w:lvl w:ilvl="6">
      <w:start w:val="1"/>
      <w:numFmt w:val="decimal"/>
      <w:lvlText w:val="%1.%2.%3.%4.%5.%6.%7."/>
      <w:lvlJc w:val="left"/>
      <w:pPr>
        <w:tabs>
          <w:tab w:val="num" w:pos="2880"/>
        </w:tabs>
        <w:ind w:left="2160" w:hanging="1440"/>
      </w:pPr>
      <w:rPr/>
    </w:lvl>
    <w:lvl w:ilvl="7">
      <w:start w:val="1"/>
      <w:numFmt w:val="decimal"/>
      <w:lvlText w:val="%1.%2.%3.%4.%5.%6.%7.%8."/>
      <w:lvlJc w:val="left"/>
      <w:pPr>
        <w:tabs>
          <w:tab w:val="num" w:pos="3240"/>
        </w:tabs>
        <w:ind w:left="2520" w:hanging="1800"/>
      </w:pPr>
      <w:rPr/>
    </w:lvl>
    <w:lvl w:ilvl="8">
      <w:start w:val="1"/>
      <w:numFmt w:val="decimal"/>
      <w:lvlText w:val="%1.%2.%3.%4.%5.%6.%7.%8.%9."/>
      <w:lvlJc w:val="left"/>
      <w:pPr>
        <w:tabs>
          <w:tab w:val="num" w:pos="3600"/>
        </w:tabs>
        <w:ind w:left="2880" w:hanging="2160"/>
      </w:pPr>
      <w:rPr/>
    </w:lvl>
  </w:abstractNum>
  <w:abstractNum w:abstractNumId="2">
    <w:lvl w:ilvl="0">
      <w:start w:val="1"/>
      <w:numFmt w:val="decimal"/>
      <w:lvlText w:val="%1."/>
      <w:lvlJc w:val="left"/>
      <w:pPr>
        <w:tabs>
          <w:tab w:val="num" w:pos="720"/>
        </w:tabs>
        <w:ind w:left="360" w:hanging="360"/>
      </w:pPr>
      <w:rPr/>
    </w:lvl>
    <w:lvl w:ilvl="1">
      <w:start w:val="1"/>
      <w:numFmt w:val="decimal"/>
      <w:lvlText w:val="%1.%2."/>
      <w:lvlJc w:val="left"/>
      <w:pPr>
        <w:tabs>
          <w:tab w:val="num" w:pos="1080"/>
        </w:tabs>
        <w:ind w:left="720" w:hanging="720"/>
      </w:pPr>
      <w:rPr/>
    </w:lvl>
    <w:lvl w:ilvl="2">
      <w:start w:val="1"/>
      <w:numFmt w:val="decimal"/>
      <w:lvlText w:val="%1.%2.%3."/>
      <w:lvlJc w:val="left"/>
      <w:pPr>
        <w:tabs>
          <w:tab w:val="num" w:pos="1440"/>
        </w:tabs>
        <w:ind w:left="720" w:hanging="720"/>
      </w:pPr>
      <w:rPr/>
    </w:lvl>
    <w:lvl w:ilvl="3">
      <w:start w:val="1"/>
      <w:numFmt w:val="decimal"/>
      <w:lvlText w:val="%1.%2.%3.%4."/>
      <w:lvlJc w:val="left"/>
      <w:pPr>
        <w:tabs>
          <w:tab w:val="num" w:pos="1800"/>
        </w:tabs>
        <w:ind w:left="1080" w:hanging="1080"/>
      </w:pPr>
      <w:rPr/>
    </w:lvl>
    <w:lvl w:ilvl="4">
      <w:start w:val="1"/>
      <w:numFmt w:val="decimal"/>
      <w:lvlText w:val="%1.%2.%3.%4.%5."/>
      <w:lvlJc w:val="left"/>
      <w:pPr>
        <w:tabs>
          <w:tab w:val="num" w:pos="2160"/>
        </w:tabs>
        <w:ind w:left="1080" w:hanging="1080"/>
      </w:pPr>
      <w:rPr/>
    </w:lvl>
    <w:lvl w:ilvl="5">
      <w:start w:val="1"/>
      <w:numFmt w:val="decimal"/>
      <w:lvlText w:val="%1.%2.%3.%4.%5.%6."/>
      <w:lvlJc w:val="left"/>
      <w:pPr>
        <w:tabs>
          <w:tab w:val="num" w:pos="2520"/>
        </w:tabs>
        <w:ind w:left="1440" w:hanging="1440"/>
      </w:pPr>
      <w:rPr/>
    </w:lvl>
    <w:lvl w:ilvl="6">
      <w:start w:val="1"/>
      <w:numFmt w:val="decimal"/>
      <w:lvlText w:val="%1.%2.%3.%4.%5.%6.%7."/>
      <w:lvlJc w:val="left"/>
      <w:pPr>
        <w:tabs>
          <w:tab w:val="num" w:pos="2880"/>
        </w:tabs>
        <w:ind w:left="1440" w:hanging="1440"/>
      </w:pPr>
      <w:rPr/>
    </w:lvl>
    <w:lvl w:ilvl="7">
      <w:start w:val="1"/>
      <w:numFmt w:val="decimal"/>
      <w:lvlText w:val="%1.%2.%3.%4.%5.%6.%7.%8."/>
      <w:lvlJc w:val="left"/>
      <w:pPr>
        <w:tabs>
          <w:tab w:val="num" w:pos="3240"/>
        </w:tabs>
        <w:ind w:left="1800" w:hanging="1800"/>
      </w:pPr>
      <w:rPr/>
    </w:lvl>
    <w:lvl w:ilvl="8">
      <w:start w:val="1"/>
      <w:numFmt w:val="decimal"/>
      <w:lvlText w:val="%1.%2.%3.%4.%5.%6.%7.%8.%9."/>
      <w:lvlJc w:val="left"/>
      <w:pPr>
        <w:tabs>
          <w:tab w:val="num" w:pos="3600"/>
        </w:tabs>
        <w:ind w:left="1800" w:hanging="180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trackRevisions/>
  <w:defaultTabStop w:val="720"/>
  <w:autoHyphenation w:val="true"/>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04ace"/>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character" w:styleId="DefaultParagraphFont" w:default="1">
    <w:name w:val="Default Paragraph Font"/>
    <w:uiPriority w:val="1"/>
    <w:semiHidden/>
    <w:unhideWhenUsed/>
    <w:qFormat/>
    <w:rPr/>
  </w:style>
  <w:style w:type="character" w:styleId="Pagrindiniotekstotrauka2Diagrama" w:customStyle="1">
    <w:name w:val="Pagrindinio teksto įtrauka 2 Diagrama"/>
    <w:basedOn w:val="DefaultParagraphFont"/>
    <w:link w:val="BodyTextIndent2"/>
    <w:qFormat/>
    <w:rsid w:val="00904ace"/>
    <w:rPr>
      <w:rFonts w:ascii="Times New Roman" w:hAnsi="Times New Roman" w:eastAsia="Times New Roman" w:cs="Times New Roman"/>
      <w:sz w:val="24"/>
      <w:szCs w:val="24"/>
      <w:lang w:val="lt-LT" w:eastAsia="lt-LT"/>
    </w:rPr>
  </w:style>
  <w:style w:type="character" w:styleId="SraopastraipaDiagrama" w:customStyle="1">
    <w:name w:val="Sąrašo pastraipa Diagrama"/>
    <w:link w:val="ListParagraph"/>
    <w:uiPriority w:val="1"/>
    <w:qFormat/>
    <w:rsid w:val="00904ace"/>
    <w:rPr>
      <w:lang w:val="lt-LT"/>
    </w:rPr>
  </w:style>
  <w:style w:type="character" w:styleId="CommentReference">
    <w:name w:val="annotation reference"/>
    <w:basedOn w:val="DefaultParagraphFont"/>
    <w:unhideWhenUsed/>
    <w:qFormat/>
    <w:rsid w:val="003f633d"/>
    <w:rPr>
      <w:sz w:val="16"/>
      <w:szCs w:val="16"/>
    </w:rPr>
  </w:style>
  <w:style w:type="character" w:styleId="KomentarotekstasDiagrama" w:customStyle="1">
    <w:name w:val="Komentaro tekstas Diagrama"/>
    <w:basedOn w:val="DefaultParagraphFont"/>
    <w:qFormat/>
    <w:rsid w:val="003f633d"/>
    <w:rPr>
      <w:sz w:val="20"/>
      <w:szCs w:val="20"/>
      <w:lang w:val="lt-LT"/>
    </w:rPr>
  </w:style>
  <w:style w:type="character" w:styleId="KomentarotemaDiagrama" w:customStyle="1">
    <w:name w:val="Komentaro tema Diagrama"/>
    <w:basedOn w:val="KomentarotekstasDiagrama"/>
    <w:link w:val="annotationsubject"/>
    <w:uiPriority w:val="99"/>
    <w:semiHidden/>
    <w:qFormat/>
    <w:rsid w:val="003f633d"/>
    <w:rPr>
      <w:b/>
      <w:bCs/>
      <w:sz w:val="20"/>
      <w:szCs w:val="20"/>
      <w:lang w:val="lt-LT"/>
    </w:rPr>
  </w:style>
  <w:style w:type="character" w:styleId="DebesliotekstasDiagrama" w:customStyle="1">
    <w:name w:val="Debesėlio tekstas Diagrama"/>
    <w:basedOn w:val="DefaultParagraphFont"/>
    <w:link w:val="BalloonText"/>
    <w:uiPriority w:val="99"/>
    <w:semiHidden/>
    <w:qFormat/>
    <w:rsid w:val="003f633d"/>
    <w:rPr>
      <w:rFonts w:ascii="Segoe UI" w:hAnsi="Segoe UI" w:cs="Segoe UI"/>
      <w:sz w:val="18"/>
      <w:szCs w:val="18"/>
      <w:lang w:val="lt-LT"/>
    </w:rPr>
  </w:style>
  <w:style w:type="character" w:styleId="InternetLink" w:customStyle="1">
    <w:name w:val="Internet Link"/>
    <w:basedOn w:val="DefaultParagraphFont"/>
    <w:uiPriority w:val="99"/>
    <w:unhideWhenUsed/>
    <w:qFormat/>
    <w:rsid w:val="00461c5f"/>
    <w:rPr>
      <w:color w:val="0000FF"/>
      <w:u w:val="single"/>
    </w:rPr>
  </w:style>
  <w:style w:type="character" w:styleId="AntratsDiagrama" w:customStyle="1">
    <w:name w:val="Antraštės Diagrama"/>
    <w:basedOn w:val="DefaultParagraphFont"/>
    <w:uiPriority w:val="99"/>
    <w:qFormat/>
    <w:rsid w:val="00c95aca"/>
    <w:rPr>
      <w:lang w:val="lt-LT"/>
    </w:rPr>
  </w:style>
  <w:style w:type="character" w:styleId="PoratDiagrama" w:customStyle="1">
    <w:name w:val="Poraštė Diagrama"/>
    <w:basedOn w:val="DefaultParagraphFont"/>
    <w:uiPriority w:val="99"/>
    <w:qFormat/>
    <w:rsid w:val="00c95aca"/>
    <w:rPr>
      <w:lang w:val="lt-LT"/>
    </w:rPr>
  </w:style>
  <w:style w:type="character" w:styleId="Strong">
    <w:name w:val="Strong"/>
    <w:basedOn w:val="DefaultParagraphFont"/>
    <w:uiPriority w:val="22"/>
    <w:qFormat/>
    <w:rsid w:val="00224c6e"/>
    <w:rPr>
      <w:b/>
      <w:bCs/>
    </w:rPr>
  </w:style>
  <w:style w:type="character" w:styleId="clear" w:customStyle="1">
    <w:name w:val="clear"/>
    <w:basedOn w:val="DefaultParagraphFont"/>
    <w:qFormat/>
    <w:rsid w:val="009c73e8"/>
    <w:rPr/>
  </w:style>
  <w:style w:type="character" w:styleId="fontstyle01" w:customStyle="1">
    <w:name w:val="fontstyle01"/>
    <w:basedOn w:val="DefaultParagraphFont"/>
    <w:qFormat/>
    <w:rsid w:val="00f90193"/>
    <w:rPr>
      <w:rFonts w:ascii="TrebuchetMS" w:hAnsi="TrebuchetMS"/>
      <w:b w:val="false"/>
      <w:bCs w:val="false"/>
      <w:i w:val="false"/>
      <w:iCs w:val="false"/>
      <w:color w:val="000000"/>
      <w:sz w:val="20"/>
      <w:szCs w:val="20"/>
    </w:rPr>
  </w:style>
  <w:style w:type="character" w:styleId="Laukeliai" w:customStyle="1">
    <w:name w:val="Laukeliai"/>
    <w:basedOn w:val="DefaultParagraphFont"/>
    <w:uiPriority w:val="1"/>
    <w:qFormat/>
    <w:rsid w:val="008647d0"/>
    <w:rPr>
      <w:rFonts w:ascii="Arial" w:hAnsi="Arial"/>
      <w:sz w:val="20"/>
    </w:rPr>
  </w:style>
  <w:style w:type="character" w:styleId="PuslapioinaostekstasDiagrama" w:customStyle="1">
    <w:name w:val="Puslapio išnašos tekstas Diagrama"/>
    <w:basedOn w:val="DefaultParagraphFont"/>
    <w:qFormat/>
    <w:rsid w:val="007119a7"/>
    <w:rPr>
      <w:rFonts w:ascii="Times New Roman" w:hAnsi="Times New Roman" w:eastAsia="Times New Roman" w:cs="Times New Roman"/>
      <w:sz w:val="20"/>
      <w:szCs w:val="20"/>
      <w:lang w:val="lt-L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customStyle="1">
    <w:name w:val="Footnote Characters1"/>
    <w:qFormat/>
    <w:rPr>
      <w:vertAlign w:val="superscript"/>
    </w:rPr>
  </w:style>
  <w:style w:type="character" w:styleId="FootnoteCharacters11" w:customStyle="1">
    <w:name w:val="Footnote Characters11"/>
    <w:qFormat/>
    <w:rPr>
      <w:vertAlign w:val="superscript"/>
    </w:rPr>
  </w:style>
  <w:style w:type="character" w:styleId="FootnoteCharacters111" w:customStyle="1">
    <w:name w:val="Footnote Characters111"/>
    <w:qFormat/>
    <w:rPr>
      <w:vertAlign w:val="superscript"/>
    </w:rPr>
  </w:style>
  <w:style w:type="character" w:styleId="FootnoteCharacters1111" w:customStyle="1">
    <w:name w:val="Footnote Characters1111"/>
    <w:qFormat/>
    <w:rPr>
      <w:vertAlign w:val="superscript"/>
    </w:rPr>
  </w:style>
  <w:style w:type="character" w:styleId="FootnoteCharacters11111" w:customStyle="1">
    <w:name w:val="Footnote Characters11111"/>
    <w:basedOn w:val="DefaultParagraphFont"/>
    <w:qFormat/>
    <w:rsid w:val="007119a7"/>
    <w:rPr>
      <w:vertAlign w:val="superscript"/>
    </w:rPr>
  </w:style>
  <w:style w:type="character" w:styleId="Neapdorotaspaminjimas1" w:customStyle="1">
    <w:name w:val="Neapdorotas paminėjimas1"/>
    <w:basedOn w:val="DefaultParagraphFont"/>
    <w:uiPriority w:val="99"/>
    <w:semiHidden/>
    <w:unhideWhenUsed/>
    <w:qFormat/>
    <w:rsid w:val="00f121f2"/>
    <w:rPr>
      <w:color w:val="605E5C"/>
      <w:shd w:fill="E1DFDD" w:val="clear"/>
    </w:rPr>
  </w:style>
  <w:style w:type="character" w:styleId="PagrindinistekstasDiagrama" w:customStyle="1">
    <w:name w:val="Pagrindinis tekstas Diagrama"/>
    <w:basedOn w:val="DefaultParagraphFont"/>
    <w:uiPriority w:val="99"/>
    <w:semiHidden/>
    <w:qFormat/>
    <w:rsid w:val="00ff6224"/>
    <w:rPr>
      <w:lang w:val="lt-LT"/>
    </w:rPr>
  </w:style>
  <w:style w:type="character" w:styleId="Mention">
    <w:name w:val="Mention"/>
    <w:basedOn w:val="DefaultParagraphFont"/>
    <w:uiPriority w:val="99"/>
    <w:unhideWhenUsed/>
    <w:qFormat/>
    <w:rsid w:val="00083ba6"/>
    <w:rPr>
      <w:color w:val="2B579A"/>
      <w:shd w:fill="E1DFDD" w:val="clear"/>
    </w:rPr>
  </w:style>
  <w:style w:type="character" w:styleId="ui-provider" w:customStyle="1">
    <w:name w:val="ui-provider"/>
    <w:basedOn w:val="DefaultParagraphFont"/>
    <w:qFormat/>
    <w:rsid w:val="008621f6"/>
    <w:rPr/>
  </w:style>
  <w:style w:type="character" w:styleId="LineNumbering" w:customStyle="1">
    <w:name w:val="Line Numbering"/>
    <w:qFormat/>
    <w:rPr/>
  </w:style>
  <w:style w:type="character" w:styleId="LineNumbering1">
    <w:name w:val="Line Numbering1"/>
    <w:qFormat/>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PagrindinistekstasDiagrama"/>
    <w:uiPriority w:val="99"/>
    <w:semiHidden/>
    <w:unhideWhenUsed/>
    <w:rsid w:val="00ff6224"/>
    <w:pPr>
      <w:spacing w:before="0" w:after="120"/>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 w:val="24"/>
      <w:szCs w:val="24"/>
    </w:rPr>
  </w:style>
  <w:style w:type="paragraph" w:styleId="Rodykl" w:customStyle="1">
    <w:name w:val="Rodyklė"/>
    <w:basedOn w:val="Normal"/>
    <w:qFormat/>
    <w:pPr>
      <w:suppressLineNumbers/>
    </w:pPr>
    <w:rPr>
      <w:rFonts w:cs="Lucida Sans"/>
    </w:rPr>
  </w:style>
  <w:style w:type="paragraph" w:styleId="ListParagraph">
    <w:name w:val="List Paragraph"/>
    <w:basedOn w:val="Normal"/>
    <w:link w:val="SraopastraipaDiagrama"/>
    <w:uiPriority w:val="1"/>
    <w:qFormat/>
    <w:rsid w:val="00904ace"/>
    <w:pPr>
      <w:spacing w:before="0" w:after="160"/>
      <w:ind w:left="720"/>
      <w:contextualSpacing/>
    </w:pPr>
    <w:rPr/>
  </w:style>
  <w:style w:type="paragraph" w:styleId="BodyTextIndent2">
    <w:name w:val="Body Text Indent 2"/>
    <w:basedOn w:val="Normal"/>
    <w:link w:val="Pagrindiniotekstotrauka2Diagrama"/>
    <w:qFormat/>
    <w:rsid w:val="00904ace"/>
    <w:pPr>
      <w:spacing w:lineRule="auto" w:line="480" w:before="0" w:after="120"/>
      <w:ind w:firstLine="567" w:left="283"/>
      <w:jc w:val="both"/>
    </w:pPr>
    <w:rPr>
      <w:rFonts w:ascii="Times New Roman" w:hAnsi="Times New Roman" w:eastAsia="Times New Roman" w:cs="Times New Roman"/>
      <w:sz w:val="24"/>
      <w:szCs w:val="24"/>
      <w:lang w:eastAsia="lt-LT"/>
    </w:rPr>
  </w:style>
  <w:style w:type="paragraph" w:styleId="CommentText">
    <w:name w:val="annotation text"/>
    <w:basedOn w:val="Normal"/>
    <w:link w:val="KomentarotekstasDiagrama"/>
    <w:unhideWhenUsed/>
    <w:qFormat/>
    <w:rsid w:val="003f633d"/>
    <w:pPr>
      <w:spacing w:lineRule="auto" w:line="240"/>
    </w:pPr>
    <w:rPr>
      <w:sz w:val="20"/>
      <w:szCs w:val="20"/>
    </w:rPr>
  </w:style>
  <w:style w:type="paragraph" w:styleId="annotationsubject">
    <w:name w:val="annotation subject"/>
    <w:basedOn w:val="CommentText"/>
    <w:next w:val="CommentText"/>
    <w:link w:val="KomentarotemaDiagrama"/>
    <w:uiPriority w:val="99"/>
    <w:semiHidden/>
    <w:unhideWhenUsed/>
    <w:qFormat/>
    <w:rsid w:val="003f633d"/>
    <w:pPr/>
    <w:rPr>
      <w:b/>
      <w:bCs/>
    </w:rPr>
  </w:style>
  <w:style w:type="paragraph" w:styleId="BalloonText">
    <w:name w:val="Balloon Text"/>
    <w:basedOn w:val="Normal"/>
    <w:link w:val="DebesliotekstasDiagrama"/>
    <w:uiPriority w:val="99"/>
    <w:semiHidden/>
    <w:unhideWhenUsed/>
    <w:qFormat/>
    <w:rsid w:val="003f633d"/>
    <w:pPr>
      <w:spacing w:lineRule="auto" w:line="240" w:before="0" w:after="0"/>
    </w:pPr>
    <w:rPr>
      <w:rFonts w:ascii="Segoe UI" w:hAnsi="Segoe UI" w:cs="Segoe UI"/>
      <w:sz w:val="18"/>
      <w:szCs w:val="18"/>
    </w:rPr>
  </w:style>
  <w:style w:type="paragraph" w:styleId="NormalWeb">
    <w:name w:val="Normal (Web)"/>
    <w:basedOn w:val="Normal"/>
    <w:uiPriority w:val="99"/>
    <w:unhideWhenUsed/>
    <w:qFormat/>
    <w:rsid w:val="00461c5f"/>
    <w:pPr>
      <w:spacing w:lineRule="auto" w:line="240" w:beforeAutospacing="1" w:afterAutospacing="1"/>
    </w:pPr>
    <w:rPr>
      <w:rFonts w:ascii="Times New Roman" w:hAnsi="Times New Roman" w:eastAsia="Times New Roman" w:cs="Times New Roman"/>
      <w:sz w:val="24"/>
      <w:szCs w:val="24"/>
      <w:lang w:eastAsia="lt-LT"/>
    </w:rPr>
  </w:style>
  <w:style w:type="paragraph" w:styleId="Revision">
    <w:name w:val="Revision"/>
    <w:uiPriority w:val="99"/>
    <w:semiHidden/>
    <w:qFormat/>
    <w:rsid w:val="00aa414f"/>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paragraph" w:styleId="Puslapinantratirporat" w:customStyle="1">
    <w:name w:val="Puslapinė antraštė ir poraštė"/>
    <w:basedOn w:val="Normal"/>
    <w:qFormat/>
    <w:pPr/>
    <w:rPr/>
  </w:style>
  <w:style w:type="paragraph" w:styleId="HeaderandFooter" w:customStyle="1">
    <w:name w:val="Header and Footer"/>
    <w:basedOn w:val="Normal"/>
    <w:qFormat/>
    <w:pPr/>
    <w:rPr/>
  </w:style>
  <w:style w:type="paragraph" w:styleId="Header">
    <w:name w:val="header"/>
    <w:basedOn w:val="Normal"/>
    <w:link w:val="AntratsDiagrama"/>
    <w:uiPriority w:val="99"/>
    <w:unhideWhenUsed/>
    <w:rsid w:val="00c95aca"/>
    <w:pPr>
      <w:tabs>
        <w:tab w:val="clear" w:pos="720"/>
        <w:tab w:val="center" w:pos="4819" w:leader="none"/>
        <w:tab w:val="right" w:pos="9638" w:leader="none"/>
      </w:tabs>
      <w:spacing w:lineRule="auto" w:line="240" w:before="0" w:after="0"/>
    </w:pPr>
    <w:rPr/>
  </w:style>
  <w:style w:type="paragraph" w:styleId="Footer">
    <w:name w:val="footer"/>
    <w:basedOn w:val="Normal"/>
    <w:link w:val="PoratDiagrama"/>
    <w:uiPriority w:val="99"/>
    <w:unhideWhenUsed/>
    <w:rsid w:val="00c95aca"/>
    <w:pPr>
      <w:tabs>
        <w:tab w:val="clear" w:pos="720"/>
        <w:tab w:val="center" w:pos="4819" w:leader="none"/>
        <w:tab w:val="right" w:pos="9638" w:leader="none"/>
      </w:tabs>
      <w:spacing w:lineRule="auto" w:line="240" w:before="0" w:after="0"/>
    </w:pPr>
    <w:rPr/>
  </w:style>
  <w:style w:type="paragraph" w:styleId="Body2" w:customStyle="1">
    <w:name w:val="Body 2"/>
    <w:qFormat/>
    <w:rsid w:val="001a6b82"/>
    <w:pPr>
      <w:widowControl/>
      <w:suppressAutoHyphens w:val="true"/>
      <w:bidi w:val="0"/>
      <w:spacing w:before="0" w:after="40"/>
      <w:jc w:val="both"/>
    </w:pPr>
    <w:rPr>
      <w:rFonts w:ascii="Times New Roman" w:hAnsi="Times New Roman" w:eastAsia="Arial Unicode MS" w:cs="Arial Unicode MS"/>
      <w:color w:val="000000"/>
      <w:kern w:val="0"/>
      <w:sz w:val="22"/>
      <w:szCs w:val="22"/>
      <w:lang w:eastAsia="lt-LT" w:val="en-US" w:bidi="ar-SA"/>
    </w:rPr>
  </w:style>
  <w:style w:type="paragraph" w:styleId="FootnoteText">
    <w:name w:val="footnote text"/>
    <w:basedOn w:val="Normal"/>
    <w:link w:val="PuslapioinaostekstasDiagrama"/>
    <w:rsid w:val="007119a7"/>
    <w:pPr>
      <w:spacing w:lineRule="auto" w:line="240" w:before="0" w:after="0"/>
    </w:pPr>
    <w:rPr>
      <w:rFonts w:ascii="Times New Roman" w:hAnsi="Times New Roman" w:eastAsia="Times New Roman" w:cs="Times New Roman"/>
      <w:sz w:val="20"/>
      <w:szCs w:val="20"/>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224c6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2D89C4D50564091DF21CF99B75348" ma:contentTypeVersion="6" ma:contentTypeDescription="Create a new document." ma:contentTypeScope="" ma:versionID="6bbd5b408c4bec9eb7f4273eda098dd5">
  <xsd:schema xmlns:xsd="http://www.w3.org/2001/XMLSchema" xmlns:xs="http://www.w3.org/2001/XMLSchema" xmlns:p="http://schemas.microsoft.com/office/2006/metadata/properties" xmlns:ns3="2c796e04-0eb5-4db5-8d10-21ca56b5e11a" targetNamespace="http://schemas.microsoft.com/office/2006/metadata/properties" ma:root="true" ma:fieldsID="34fb6c9c4ee5f098e1e93900115efbd4" ns3:_="">
    <xsd:import namespace="2c796e04-0eb5-4db5-8d10-21ca56b5e11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96e04-0eb5-4db5-8d10-21ca56b5e1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A4E55-E8D2-4DEA-978D-0C04726B2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96e04-0eb5-4db5-8d10-21ca56b5e1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74E5A0-323C-4AE4-A533-2F058706FC5D}">
  <ds:schemaRefs>
    <ds:schemaRef ds:uri="http://schemas.microsoft.com/sharepoint/v3/contenttype/forms"/>
  </ds:schemaRefs>
</ds:datastoreItem>
</file>

<file path=customXml/itemProps3.xml><?xml version="1.0" encoding="utf-8"?>
<ds:datastoreItem xmlns:ds="http://schemas.openxmlformats.org/officeDocument/2006/customXml" ds:itemID="{960D1CA5-8CC7-454A-B961-2255A5E0B0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8992A8-DDF7-41D6-A1ED-A2F7E26AA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Application>LibreOffice/24.8.0.3$Windows_X86_64 LibreOffice_project/0bdf1299c94fe897b119f97f3c613e9dca6be583</Application>
  <AppVersion>15.0000</AppVersion>
  <Pages>7</Pages>
  <Words>1852</Words>
  <Characters>13028</Characters>
  <CharactersWithSpaces>14540</CharactersWithSpaces>
  <Paragraphs>332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2025-08-21T13:58:00Z</dcterms:created>
  <dc:creator>Enrika.Beivyde@vmu.lt</dc:creator>
  <dc:description/>
  <dc:language>lt-LT</dc:language>
  <cp:lastModifiedBy/>
  <cp:lastPrinted>2021-06-10T11:00:00Z</cp:lastPrinted>
  <dcterms:modified xsi:type="dcterms:W3CDTF">2025-08-25T11:43:36Z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onClassification">
    <vt:lpwstr>ADC_class_200</vt:lpwstr>
  </property>
  <property fmtid="{D5CDD505-2E9C-101B-9397-08002B2CF9AE}" pid="3" name="ContentTypeId">
    <vt:lpwstr>0x0101008BC2D89C4D50564091DF21CF99B75348</vt:lpwstr>
  </property>
  <property fmtid="{D5CDD505-2E9C-101B-9397-08002B2CF9AE}" pid="4" name="HyperlinksChanged">
    <vt:bool>0</vt:bool>
  </property>
  <property fmtid="{D5CDD505-2E9C-101B-9397-08002B2CF9AE}" pid="5" name="LinksUpToDate">
    <vt:bool>0</vt:bool>
  </property>
  <property fmtid="{D5CDD505-2E9C-101B-9397-08002B2CF9AE}" pid="6" name="MSIP_Label_9043f10a-881e-4653-a55e-02ca2cc829dc_ActionId">
    <vt:lpwstr>64afe0af-2b29-4235-b780-48c357efca4d</vt:lpwstr>
  </property>
  <property fmtid="{D5CDD505-2E9C-101B-9397-08002B2CF9AE}" pid="7" name="MSIP_Label_9043f10a-881e-4653-a55e-02ca2cc829dc_ContentBits">
    <vt:lpwstr>0</vt:lpwstr>
  </property>
  <property fmtid="{D5CDD505-2E9C-101B-9397-08002B2CF9AE}" pid="8" name="MSIP_Label_9043f10a-881e-4653-a55e-02ca2cc829dc_Enabled">
    <vt:lpwstr>true</vt:lpwstr>
  </property>
  <property fmtid="{D5CDD505-2E9C-101B-9397-08002B2CF9AE}" pid="9" name="MSIP_Label_9043f10a-881e-4653-a55e-02ca2cc829dc_Method">
    <vt:lpwstr>Standard</vt:lpwstr>
  </property>
  <property fmtid="{D5CDD505-2E9C-101B-9397-08002B2CF9AE}" pid="10" name="MSIP_Label_9043f10a-881e-4653-a55e-02ca2cc829dc_Name">
    <vt:lpwstr>ADC_class_200</vt:lpwstr>
  </property>
  <property fmtid="{D5CDD505-2E9C-101B-9397-08002B2CF9AE}" pid="11" name="MSIP_Label_9043f10a-881e-4653-a55e-02ca2cc829dc_SetDate">
    <vt:lpwstr>2023-11-06T14:13:04Z</vt:lpwstr>
  </property>
  <property fmtid="{D5CDD505-2E9C-101B-9397-08002B2CF9AE}" pid="12" name="MSIP_Label_9043f10a-881e-4653-a55e-02ca2cc829dc_SiteId">
    <vt:lpwstr>94cfddbc-0627-494a-ad7a-29aea3aea832</vt:lpwstr>
  </property>
  <property fmtid="{D5CDD505-2E9C-101B-9397-08002B2CF9AE}" pid="13" name="ScaleCrop">
    <vt:bool>0</vt:bool>
  </property>
  <property fmtid="{D5CDD505-2E9C-101B-9397-08002B2CF9AE}" pid="14" name="ShareDoc">
    <vt:bool>0</vt:bool>
  </property>
  <property fmtid="{D5CDD505-2E9C-101B-9397-08002B2CF9AE}" pid="15" name="TitusGUID">
    <vt:lpwstr>42756426-7a89-489c-9d2f-d50b0387b476</vt:lpwstr>
  </property>
</Properties>
</file>